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</w:t>
      </w:r>
      <w:r w:rsidR="00570669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.2023.ZO.</w:t>
      </w:r>
      <w:r w:rsidR="007C5E88">
        <w:rPr>
          <w:rFonts w:cstheme="minorHAnsi"/>
          <w:b/>
          <w:sz w:val="24"/>
          <w:szCs w:val="24"/>
        </w:rPr>
        <w:t>3</w:t>
      </w:r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proofErr w:type="spellStart"/>
      <w:r w:rsidR="00685A77" w:rsidRPr="00685A7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685A77" w:rsidRPr="00685A77">
        <w:rPr>
          <w:rFonts w:eastAsia="Times New Roman" w:cstheme="minorHAnsi"/>
          <w:sz w:val="24"/>
          <w:szCs w:val="24"/>
          <w:lang w:eastAsia="pl-PL"/>
        </w:rPr>
        <w:t>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B274D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7676" w:rsidRPr="005D7676">
        <w:rPr>
          <w:rFonts w:eastAsia="Times New Roman" w:cstheme="minorHAnsi"/>
          <w:b/>
          <w:sz w:val="24"/>
          <w:szCs w:val="24"/>
          <w:lang w:eastAsia="pl-PL"/>
        </w:rPr>
        <w:t xml:space="preserve">Zakładu Medycyny Regeneracyjnej i </w:t>
      </w:r>
      <w:proofErr w:type="spellStart"/>
      <w:r w:rsidR="005D7676" w:rsidRPr="005D7676">
        <w:rPr>
          <w:rFonts w:eastAsia="Times New Roman" w:cstheme="minorHAnsi"/>
          <w:b/>
          <w:sz w:val="24"/>
          <w:szCs w:val="24"/>
          <w:lang w:eastAsia="pl-PL"/>
        </w:rPr>
        <w:t>Immunoregulacji</w:t>
      </w:r>
      <w:proofErr w:type="spellEnd"/>
      <w:r w:rsidR="005D767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 xml:space="preserve">- Centrum </w:t>
      </w:r>
      <w:proofErr w:type="spellStart"/>
      <w:r w:rsidR="008B274D" w:rsidRPr="00F54451">
        <w:rPr>
          <w:rFonts w:eastAsia="Times New Roman" w:cstheme="minorHAnsi"/>
          <w:b/>
          <w:bCs/>
          <w:sz w:val="24"/>
          <w:szCs w:val="24"/>
        </w:rPr>
        <w:t>Futuri</w:t>
      </w:r>
      <w:proofErr w:type="spellEnd"/>
      <w:r w:rsidR="008B274D" w:rsidRPr="00F54451">
        <w:rPr>
          <w:rFonts w:eastAsia="Times New Roman" w:cstheme="minorHAnsi"/>
          <w:b/>
          <w:bCs/>
          <w:sz w:val="24"/>
          <w:szCs w:val="24"/>
        </w:rPr>
        <w:t>, ul. Waszyngtona 15</w:t>
      </w:r>
      <w:r w:rsidR="005D7676">
        <w:rPr>
          <w:rFonts w:eastAsia="Times New Roman" w:cstheme="minorHAnsi"/>
          <w:b/>
          <w:bCs/>
          <w:sz w:val="24"/>
          <w:szCs w:val="24"/>
        </w:rPr>
        <w:t>D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>, 15-269 Białystok</w:t>
      </w:r>
      <w:r w:rsidR="008B274D" w:rsidRPr="00F54451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F54451">
        <w:rPr>
          <w:rFonts w:cstheme="minorHAnsi"/>
          <w:b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61AE6">
        <w:rPr>
          <w:rFonts w:cstheme="minorHAnsi"/>
          <w:b/>
          <w:color w:val="000000"/>
          <w:sz w:val="24"/>
          <w:szCs w:val="24"/>
        </w:rPr>
        <w:t>z</w:t>
      </w:r>
      <w:r w:rsidR="00F61AE6" w:rsidRPr="00F61AE6">
        <w:rPr>
          <w:rFonts w:cstheme="minorHAnsi"/>
          <w:b/>
          <w:color w:val="000000"/>
          <w:sz w:val="24"/>
          <w:szCs w:val="24"/>
        </w:rPr>
        <w:t>estaw</w:t>
      </w:r>
      <w:r w:rsidR="00F61AE6">
        <w:rPr>
          <w:rFonts w:cstheme="minorHAnsi"/>
          <w:b/>
          <w:color w:val="000000"/>
          <w:sz w:val="24"/>
          <w:szCs w:val="24"/>
        </w:rPr>
        <w:t>u</w:t>
      </w:r>
      <w:r w:rsidR="00F61AE6" w:rsidRPr="00F61AE6">
        <w:rPr>
          <w:rFonts w:cstheme="minorHAnsi"/>
          <w:b/>
          <w:color w:val="000000"/>
          <w:sz w:val="24"/>
          <w:szCs w:val="24"/>
        </w:rPr>
        <w:t xml:space="preserve"> do przygotowania preparatów cytodiagnostycznych 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>z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950A7D" w:rsidRPr="00341F73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C5E88">
        <w:rPr>
          <w:rFonts w:eastAsia="Times New Roman" w:cstheme="minorHAnsi"/>
          <w:b/>
          <w:sz w:val="24"/>
          <w:szCs w:val="24"/>
          <w:lang w:eastAsia="pl-PL"/>
        </w:rPr>
        <w:t xml:space="preserve">15.12.2023r. </w:t>
      </w:r>
      <w:r w:rsidR="00C02FAD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991CA6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>
        <w:rPr>
          <w:rFonts w:eastAsia="Times New Roman" w:cstheme="minorHAnsi"/>
          <w:sz w:val="24"/>
          <w:szCs w:val="24"/>
          <w:lang w:eastAsia="pl-PL"/>
        </w:rPr>
        <w:t>(</w:t>
      </w:r>
      <w:r w:rsidRPr="00991CA6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>
        <w:rPr>
          <w:rFonts w:eastAsia="Times New Roman" w:cstheme="minorHAnsi"/>
          <w:sz w:val="24"/>
          <w:szCs w:val="24"/>
          <w:lang w:eastAsia="pl-PL"/>
        </w:rPr>
        <w:t>)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 xml:space="preserve">dyta Jakubowska 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15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dyta.jakubowska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7C5E88" w:rsidRDefault="007C5E88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255A2E">
        <w:rPr>
          <w:rFonts w:eastAsia="Times New Roman" w:cstheme="minorHAnsi"/>
          <w:b/>
          <w:sz w:val="24"/>
          <w:szCs w:val="24"/>
          <w:lang w:eastAsia="pl-PL"/>
        </w:rPr>
        <w:lastRenderedPageBreak/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2B" w:rsidRDefault="0098582B" w:rsidP="00D4339B">
      <w:pPr>
        <w:spacing w:after="0" w:line="240" w:lineRule="auto"/>
      </w:pPr>
      <w:r>
        <w:separator/>
      </w:r>
    </w:p>
  </w:endnote>
  <w:endnote w:type="continuationSeparator" w:id="0">
    <w:p w:rsidR="0098582B" w:rsidRDefault="0098582B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2B" w:rsidRDefault="0098582B" w:rsidP="00D4339B">
      <w:pPr>
        <w:spacing w:after="0" w:line="240" w:lineRule="auto"/>
      </w:pPr>
      <w:r>
        <w:separator/>
      </w:r>
    </w:p>
  </w:footnote>
  <w:footnote w:type="continuationSeparator" w:id="0">
    <w:p w:rsidR="0098582B" w:rsidRDefault="0098582B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69F9"/>
    <w:rsid w:val="000F3335"/>
    <w:rsid w:val="00100FF2"/>
    <w:rsid w:val="001051F6"/>
    <w:rsid w:val="0010612E"/>
    <w:rsid w:val="001132BD"/>
    <w:rsid w:val="00113446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00B5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639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70669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D7676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5E88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582B"/>
    <w:rsid w:val="00986358"/>
    <w:rsid w:val="00987972"/>
    <w:rsid w:val="00991B2C"/>
    <w:rsid w:val="00991CA6"/>
    <w:rsid w:val="00996C3E"/>
    <w:rsid w:val="00997BAA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6980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1AE6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5493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06FF-EE7C-4AD7-AF7C-0CEE1DF1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Edyta Jakubowska</cp:lastModifiedBy>
  <cp:revision>6</cp:revision>
  <cp:lastPrinted>2023-02-07T11:06:00Z</cp:lastPrinted>
  <dcterms:created xsi:type="dcterms:W3CDTF">2023-09-05T08:40:00Z</dcterms:created>
  <dcterms:modified xsi:type="dcterms:W3CDTF">2023-09-22T12:56:00Z</dcterms:modified>
</cp:coreProperties>
</file>