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C158" w14:textId="77777777" w:rsidR="001B635D" w:rsidRPr="000D0F02" w:rsidRDefault="001B635D" w:rsidP="00776111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29AA3E30" w14:textId="77777777" w:rsidR="001B635D" w:rsidRPr="00182BA4" w:rsidRDefault="001B635D" w:rsidP="00776111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182BA4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03207C87" w14:textId="77777777" w:rsidR="001B635D" w:rsidRPr="00CF251C" w:rsidRDefault="001B635D" w:rsidP="001B635D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1055E64B" w14:textId="77777777" w:rsidR="001B635D" w:rsidRPr="00CF251C" w:rsidRDefault="001B635D" w:rsidP="001B635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5741D8D3" w14:textId="50F7F3D0" w:rsidR="001B635D" w:rsidRDefault="001A5F2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F2D">
        <w:rPr>
          <w:rFonts w:asciiTheme="minorHAnsi" w:hAnsiTheme="minorHAnsi" w:cstheme="minorHAnsi"/>
          <w:b/>
          <w:sz w:val="24"/>
          <w:szCs w:val="24"/>
          <w:u w:val="single"/>
        </w:rPr>
        <w:t>Wytrząsarka szybkoobrotowa laboratoryjna – 1 szt.</w:t>
      </w:r>
    </w:p>
    <w:p w14:paraId="53514EB9" w14:textId="77777777" w:rsidR="001A5F2D" w:rsidRPr="00CF251C" w:rsidRDefault="001A5F2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27E9C0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A3F2F15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4FE2BA5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5DD2BCF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0E6A05A" w14:textId="77777777" w:rsidR="001B635D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FF1EAD3" w14:textId="55886AF3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AA29C12" w14:textId="77777777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DEAFEA9" w14:textId="77777777" w:rsidR="001B635D" w:rsidRPr="00CF251C" w:rsidRDefault="001B635D" w:rsidP="001B635D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1B3889DD" w14:textId="77777777" w:rsidR="001B635D" w:rsidRPr="00CF251C" w:rsidRDefault="001B635D" w:rsidP="001B635D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630DAF69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F0F3DF7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pl-PL"/>
        </w:rPr>
      </w:pPr>
    </w:p>
    <w:p w14:paraId="26C8F902" w14:textId="77777777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0705981F" w14:textId="77777777" w:rsidR="001B635D" w:rsidRPr="007A15CD" w:rsidRDefault="001B635D" w:rsidP="001B635D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A9A14B" w14:textId="77777777" w:rsidR="001B635D" w:rsidRPr="007A15CD" w:rsidRDefault="001B635D" w:rsidP="001B635D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129DB7C1" w14:textId="48B72840" w:rsidR="001B635D" w:rsidRPr="007A15CD" w:rsidRDefault="001B635D" w:rsidP="001B635D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79F242E" w14:textId="77777777" w:rsidR="001B635D" w:rsidRPr="00CF251C" w:rsidRDefault="001B635D" w:rsidP="001B635D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</w:p>
    <w:p w14:paraId="3F3BD3F9" w14:textId="77777777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21DD3524" w14:textId="77777777" w:rsidR="00074FE8" w:rsidRDefault="00074FE8" w:rsidP="00074FE8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873E9CD" w14:textId="15110BDC" w:rsidR="00074FE8" w:rsidRPr="000D0F02" w:rsidRDefault="00074FE8" w:rsidP="00776111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2</w:t>
      </w:r>
    </w:p>
    <w:p w14:paraId="41358847" w14:textId="1CC5C43F" w:rsidR="0095537D" w:rsidRPr="00105C47" w:rsidRDefault="006524D6" w:rsidP="00776111">
      <w:pPr>
        <w:pStyle w:val="Nagwek1"/>
        <w:ind w:right="91"/>
        <w:jc w:val="center"/>
      </w:pPr>
      <w:r w:rsidRPr="00105C47">
        <w:t>OPIS PR</w:t>
      </w:r>
      <w:r w:rsidR="00A46452">
        <w:t>ZEDMIOTU ZAMÓWIENIA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32D40565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22D728" w14:textId="533B248C" w:rsidR="00047F68" w:rsidRDefault="006356B2" w:rsidP="002465B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6D945DD" w14:textId="77777777" w:rsidR="00A4626D" w:rsidRDefault="00A4626D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6EC2E7F" w14:textId="77777777" w:rsidR="00B137A3" w:rsidRPr="008A2501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716C97E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Wytrząsarka laboratoryjna z adapterem do mikropłytek z płaskim dnem.</w:t>
      </w:r>
    </w:p>
    <w:p w14:paraId="549703B6" w14:textId="63801636" w:rsidR="004B5071" w:rsidRPr="004B5071" w:rsidRDefault="00260A47" w:rsidP="004B5071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Możliwość pracy z różnego typu probówkami i mikropłytkami, co najmniej:</w:t>
      </w:r>
    </w:p>
    <w:p w14:paraId="24CA6350" w14:textId="5C279F92" w:rsidR="00260A47" w:rsidRDefault="00260A47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z mikropłytkami 96 / 384 / 1536 dołkowymi</w:t>
      </w:r>
      <w:r>
        <w:rPr>
          <w:rFonts w:ascii="Calibri" w:hAnsi="Calibri" w:cs="Calibri"/>
          <w:sz w:val="24"/>
          <w:szCs w:val="24"/>
        </w:rPr>
        <w:t>,</w:t>
      </w:r>
    </w:p>
    <w:p w14:paraId="0350C61D" w14:textId="44B04898" w:rsidR="00260A47" w:rsidRPr="00260A47" w:rsidRDefault="004B5071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r w:rsidR="00260A47" w:rsidRPr="00260A47">
        <w:rPr>
          <w:rFonts w:ascii="Calibri" w:hAnsi="Calibri" w:cs="Calibri"/>
          <w:sz w:val="24"/>
          <w:szCs w:val="24"/>
        </w:rPr>
        <w:t>probówkami 0.2 / 0.5 / 1.5 / 2.0 ml</w:t>
      </w:r>
      <w:r w:rsidR="00260A47">
        <w:rPr>
          <w:rFonts w:ascii="Calibri" w:hAnsi="Calibri" w:cs="Calibri"/>
          <w:sz w:val="24"/>
          <w:szCs w:val="24"/>
        </w:rPr>
        <w:t>,</w:t>
      </w:r>
    </w:p>
    <w:p w14:paraId="4CCCF60A" w14:textId="39DDBAD2" w:rsidR="00260A47" w:rsidRPr="00260A47" w:rsidRDefault="004B5071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vialkami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2 – 6 ml o średnicach: Ø12,  Ø 15,  Ø 17,  Ø 19 mm </w:t>
      </w:r>
    </w:p>
    <w:p w14:paraId="6E07BD9E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Obroty w zakresie nie mniejszym niż od 200 do 3 000rpm dla płytek 96-dołkowych oraz 200 do 1800rpm dla </w:t>
      </w:r>
      <w:proofErr w:type="spellStart"/>
      <w:r w:rsidRPr="00260A47">
        <w:rPr>
          <w:rFonts w:ascii="Calibri" w:hAnsi="Calibri" w:cs="Calibri"/>
          <w:sz w:val="24"/>
          <w:szCs w:val="24"/>
        </w:rPr>
        <w:t>vialek</w:t>
      </w:r>
      <w:proofErr w:type="spellEnd"/>
      <w:r w:rsidRPr="00260A47">
        <w:rPr>
          <w:rFonts w:ascii="Calibri" w:hAnsi="Calibri" w:cs="Calibri"/>
          <w:sz w:val="24"/>
          <w:szCs w:val="24"/>
        </w:rPr>
        <w:t>.</w:t>
      </w:r>
    </w:p>
    <w:p w14:paraId="3A023B07" w14:textId="3FFE1C86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Rozdzielczość ustawienia prędkości w krokach maksymalnych nie większych niż co 50 rpm</w:t>
      </w:r>
    </w:p>
    <w:p w14:paraId="029F534A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Dokładność regulacji mieszania nie gorsza niż ± 25 rpm</w:t>
      </w:r>
    </w:p>
    <w:p w14:paraId="354AE5E5" w14:textId="4597CF64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Regulator czasowy w zakresie nie </w:t>
      </w:r>
      <w:r w:rsidRPr="000A4DE4">
        <w:rPr>
          <w:rFonts w:ascii="Calibri" w:hAnsi="Calibri" w:cs="Calibri"/>
          <w:sz w:val="24"/>
          <w:szCs w:val="24"/>
        </w:rPr>
        <w:t>mniejszym niż od 1 min do 99 godzin.</w:t>
      </w:r>
    </w:p>
    <w:p w14:paraId="15625BE3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Regulacja temperatury od RT do min. 99°C </w:t>
      </w:r>
    </w:p>
    <w:p w14:paraId="796BC7D6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Maksymalny czas nagrzewania od RT do 95°C – 10 min</w:t>
      </w:r>
    </w:p>
    <w:p w14:paraId="36DE5BAC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Funkcja regulatora czasowego.</w:t>
      </w:r>
    </w:p>
    <w:p w14:paraId="0B6FA3F0" w14:textId="129922C4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Orbita mieszania 2 mm (±10%)</w:t>
      </w:r>
      <w:r w:rsidRPr="00260A47">
        <w:rPr>
          <w:rFonts w:ascii="Calibri" w:hAnsi="Calibri" w:cs="Calibri"/>
          <w:b/>
          <w:sz w:val="24"/>
          <w:szCs w:val="24"/>
        </w:rPr>
        <w:t>.</w:t>
      </w:r>
    </w:p>
    <w:p w14:paraId="54F0E87B" w14:textId="3D1B1046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Aluminiowa obudowa</w:t>
      </w:r>
      <w:r w:rsidRPr="00260A47">
        <w:rPr>
          <w:rFonts w:ascii="Calibri" w:hAnsi="Calibri" w:cs="Calibri"/>
          <w:b/>
          <w:sz w:val="24"/>
          <w:szCs w:val="24"/>
        </w:rPr>
        <w:t xml:space="preserve"> </w:t>
      </w:r>
      <w:r w:rsidRPr="00260A47">
        <w:rPr>
          <w:rFonts w:ascii="Calibri" w:hAnsi="Calibri" w:cs="Calibri"/>
          <w:sz w:val="24"/>
          <w:szCs w:val="24"/>
        </w:rPr>
        <w:t>odporna na czynniki zewnętrzne.</w:t>
      </w:r>
    </w:p>
    <w:p w14:paraId="39139CA9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Minimum 2 wierszowy wyświetlacz LCD wyświetlający co najmniej: czas, częstotliwość mieszania, temperaturę.</w:t>
      </w:r>
    </w:p>
    <w:p w14:paraId="406DE167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Możliwość zapisania min. 2 programów.</w:t>
      </w:r>
    </w:p>
    <w:p w14:paraId="526CF65F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lastRenderedPageBreak/>
        <w:t xml:space="preserve">Kompaktowe wymiary nie większe niż (szerokość x głębokość x wysokość): 150mm x 200mm x 100mm </w:t>
      </w:r>
    </w:p>
    <w:p w14:paraId="39347F11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Zasilanie 100-240 V AC, 50-60 </w:t>
      </w:r>
      <w:proofErr w:type="spellStart"/>
      <w:r w:rsidRPr="00260A47">
        <w:rPr>
          <w:rFonts w:ascii="Calibri" w:hAnsi="Calibri" w:cs="Calibri"/>
          <w:sz w:val="24"/>
          <w:szCs w:val="24"/>
        </w:rPr>
        <w:t>Hz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</w:t>
      </w:r>
    </w:p>
    <w:p w14:paraId="2DFB7FE0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Wytrząsarka w pełni kompatybilna i dedykowana do protokołów przygotowywania prób bibliotek DNA oraz RNA (na których bazuje Użytkownik w pracy laboratoryjnej) do sekwencjonowania nowej generacji, na </w:t>
      </w:r>
      <w:proofErr w:type="spellStart"/>
      <w:r w:rsidRPr="00260A47">
        <w:rPr>
          <w:rFonts w:ascii="Calibri" w:hAnsi="Calibri" w:cs="Calibri"/>
          <w:sz w:val="24"/>
          <w:szCs w:val="24"/>
        </w:rPr>
        <w:t>sekwanatorach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(posiadanych przez Użytkownika). Kompatybilność ta pozwala na ewentualną reklamację nieudanych analiz. W przypadku jakichkolwiek odstępstw od protokołów, firma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nie oferuje możliwości całkowitego zwrotu wykorzystanych odczynników czy też wsparcia aplikacyjnego w procesie przygotowania prób. Konieczność zachowania kompatybilności z protokołami: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DNA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Pr="00260A47">
        <w:rPr>
          <w:rFonts w:ascii="Calibri" w:hAnsi="Calibri" w:cs="Calibri"/>
          <w:sz w:val="24"/>
          <w:szCs w:val="24"/>
        </w:rPr>
        <w:t>Enrichment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#1000000048041),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DNA PCR-</w:t>
      </w:r>
      <w:proofErr w:type="spellStart"/>
      <w:r w:rsidRPr="00260A47">
        <w:rPr>
          <w:rFonts w:ascii="Calibri" w:hAnsi="Calibri" w:cs="Calibri"/>
          <w:sz w:val="24"/>
          <w:szCs w:val="24"/>
        </w:rPr>
        <w:t>Free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Library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60A47">
        <w:rPr>
          <w:rFonts w:ascii="Calibri" w:hAnsi="Calibri" w:cs="Calibri"/>
          <w:sz w:val="24"/>
          <w:szCs w:val="24"/>
        </w:rPr>
        <w:t>Tagmentation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#1000000086922),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60A47">
        <w:rPr>
          <w:rFonts w:ascii="Calibri" w:hAnsi="Calibri" w:cs="Calibri"/>
          <w:sz w:val="24"/>
          <w:szCs w:val="24"/>
        </w:rPr>
        <w:t>Stranded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Total RNA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60A47">
        <w:rPr>
          <w:rFonts w:ascii="Calibri" w:hAnsi="Calibri" w:cs="Calibri"/>
          <w:sz w:val="24"/>
          <w:szCs w:val="24"/>
        </w:rPr>
        <w:t>Ligation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Pr="00260A47">
        <w:rPr>
          <w:rFonts w:ascii="Calibri" w:hAnsi="Calibri" w:cs="Calibri"/>
          <w:sz w:val="24"/>
          <w:szCs w:val="24"/>
        </w:rPr>
        <w:t>Ribo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-Zero Plus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>:  #1000000124514).</w:t>
      </w: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 xml:space="preserve">aktualizacja oprogramowania będzie dostarczana i instalowana na koszt Wykonawcy w </w:t>
      </w:r>
      <w:r w:rsidRPr="00493985">
        <w:rPr>
          <w:rFonts w:asciiTheme="minorHAnsi" w:hAnsiTheme="minorHAnsi" w:cstheme="minorHAnsi"/>
          <w:sz w:val="24"/>
          <w:szCs w:val="24"/>
        </w:rPr>
        <w:lastRenderedPageBreak/>
        <w:t>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CC2C647" w14:textId="7948ECD3" w:rsidR="006E49E4" w:rsidRDefault="006E49E4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4DF8E786" w14:textId="273D4951" w:rsidR="006346FA" w:rsidRPr="00BC26BF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4E539E59" w14:textId="77777777" w:rsidR="006346FA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78EEAC92" w:rsidR="00493985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77777777" w:rsidR="0095537D" w:rsidRPr="00383D8F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528ED578" w14:textId="77777777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4CA04BB6" w14:textId="3C856D45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A00BA48" w14:textId="77777777" w:rsidR="00074FE8" w:rsidRDefault="00074FE8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8F74150" w14:textId="77777777" w:rsidR="00074FE8" w:rsidRDefault="00074FE8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60D032" w14:textId="77777777" w:rsidR="00074FE8" w:rsidRDefault="00074FE8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8F3BB9" w14:textId="1A396652" w:rsidR="00582C80" w:rsidRPr="006035E9" w:rsidRDefault="007C088D" w:rsidP="0077611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</w:t>
      </w:r>
    </w:p>
    <w:p w14:paraId="0DF2F709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CFBCB0B" w14:textId="039E5402" w:rsidR="00582C80" w:rsidRPr="00C10C2C" w:rsidRDefault="00182BA4" w:rsidP="00776111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</w:t>
      </w:r>
    </w:p>
    <w:p w14:paraId="22A9365F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C10C2C">
        <w:rPr>
          <w:rFonts w:asciiTheme="minorHAnsi" w:hAnsiTheme="minorHAnsi" w:cstheme="minorHAnsi"/>
          <w:color w:val="000000"/>
        </w:rPr>
        <w:t>Dostawa wraz z rozładunkiem, wniesieniem, zainstalowaniem, uruchomieniem urządzenia i dostarczeniem instrukcji stanowiskowej oraz jej wdrożeniem</w:t>
      </w:r>
      <w:r>
        <w:rPr>
          <w:rFonts w:asciiTheme="minorHAnsi" w:hAnsiTheme="minorHAnsi" w:cstheme="minorHAnsi"/>
          <w:color w:val="000000"/>
        </w:rPr>
        <w:t xml:space="preserve"> do</w:t>
      </w:r>
      <w:r w:rsidRPr="00C10C2C">
        <w:rPr>
          <w:rFonts w:asciiTheme="minorHAnsi" w:hAnsiTheme="minorHAnsi" w:cstheme="minorHAnsi"/>
          <w:color w:val="000000"/>
        </w:rPr>
        <w:t xml:space="preserve"> </w:t>
      </w:r>
    </w:p>
    <w:p w14:paraId="2AA22AC7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A81337E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D89A4B6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480C0B1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6A6D39C3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B4DEA84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30E50C50" w14:textId="5790D761" w:rsidR="006356B2" w:rsidRDefault="006356B2" w:rsidP="001A5F2D">
      <w:pPr>
        <w:pStyle w:val="Bezodstpw"/>
        <w:numPr>
          <w:ilvl w:val="0"/>
          <w:numId w:val="28"/>
        </w:numPr>
        <w:spacing w:line="360" w:lineRule="auto"/>
        <w:jc w:val="both"/>
        <w:rPr>
          <w:rFonts w:cstheme="minorHAnsi"/>
          <w:b/>
          <w:bCs/>
          <w:color w:val="000000"/>
        </w:rPr>
      </w:pPr>
      <w:r w:rsidRPr="001B2801">
        <w:rPr>
          <w:rFonts w:ascii="Calibri" w:hAnsi="Calibri" w:cs="Calibri"/>
          <w:sz w:val="24"/>
          <w:szCs w:val="24"/>
        </w:rPr>
        <w:t>Funkcj</w:t>
      </w:r>
      <w:r>
        <w:rPr>
          <w:rFonts w:ascii="Calibri" w:hAnsi="Calibri" w:cs="Calibri"/>
          <w:sz w:val="24"/>
          <w:szCs w:val="24"/>
        </w:rPr>
        <w:t>a</w:t>
      </w:r>
      <w:r w:rsidRPr="001B2801">
        <w:rPr>
          <w:rFonts w:ascii="Calibri" w:hAnsi="Calibri" w:cs="Calibri"/>
          <w:sz w:val="24"/>
          <w:szCs w:val="24"/>
        </w:rPr>
        <w:t xml:space="preserve"> krótkiego mieszania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cstheme="minorHAnsi"/>
          <w:b/>
          <w:bCs/>
          <w:color w:val="000000"/>
        </w:rPr>
        <w:t xml:space="preserve"> </w:t>
      </w:r>
    </w:p>
    <w:p w14:paraId="68AD17A1" w14:textId="5E1616F4" w:rsidR="00582C80" w:rsidRPr="00582C80" w:rsidRDefault="00582C80" w:rsidP="006356B2">
      <w:pPr>
        <w:pStyle w:val="Bezodstpw"/>
        <w:spacing w:line="36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 w:rsidR="00B44CFB">
        <w:rPr>
          <w:rFonts w:cstheme="minorHAnsi"/>
          <w:bCs/>
          <w:color w:val="000000"/>
        </w:rPr>
        <w:t>10</w:t>
      </w:r>
    </w:p>
    <w:p w14:paraId="1C2693E8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7BD9B1C" w14:textId="77777777" w:rsidR="00582C80" w:rsidRPr="00A0735A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0F04FAC9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4AD2E590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4D1599C8" w14:textId="77777777" w:rsidR="00582C80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1A62B51B" w14:textId="77777777" w:rsid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14:paraId="0DF04A79" w14:textId="77777777" w:rsid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5BDB5F9" w14:textId="1671B80D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7A15CD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………………………………………………………………..</w:t>
      </w:r>
    </w:p>
    <w:p w14:paraId="39FAFD5B" w14:textId="758C1731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128DD15" w14:textId="77777777" w:rsidR="00582C80" w:rsidRDefault="00582C80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3AE91AF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7B179A92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5391D57D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CB7FF65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59CD7725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3A609BC9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7454397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73EBBF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CBDD0D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358FFD49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6FF4B1C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95544D0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0901A75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83BE45C" w14:textId="2A52BC4E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4CB44C67" w14:textId="1F34074A" w:rsidR="0095537D" w:rsidRPr="00383D8F" w:rsidRDefault="008A08AC" w:rsidP="00776111">
      <w:pPr>
        <w:pStyle w:val="Nagwek1"/>
        <w:ind w:right="91"/>
        <w:jc w:val="center"/>
      </w:pPr>
      <w:r>
        <w:t>OCENA</w:t>
      </w:r>
      <w:r w:rsidR="00182BA4">
        <w:t xml:space="preserve"> WARUNKÓW GWARANCJI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B819911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C48FDC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6A5C0D" w14:textId="39A14443" w:rsidR="008E72E9" w:rsidRDefault="008E72E9" w:rsidP="008E72E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650BF1DD" w14:textId="77777777" w:rsidR="00724DD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BE3D02" w:rsidR="00204CA6" w:rsidRPr="00383D8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01D24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9DC8ADE" w:rsidR="00204CA6" w:rsidRPr="00383D8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44CF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BB3C5A4" w:rsidR="00204CA6" w:rsidRPr="00383D8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101D24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38DF23D" w:rsidR="00204CA6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01D24">
        <w:rPr>
          <w:rFonts w:asciiTheme="minorHAnsi" w:hAnsiTheme="minorHAnsi" w:cstheme="minorHAnsi"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5388CAEB" w14:textId="77777777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5760"/>
        <w:jc w:val="both"/>
        <w:rPr>
          <w:rFonts w:ascii="Calibri" w:eastAsia="Times New Roman" w:hAnsi="Calibri" w:cs="Calibri"/>
          <w:szCs w:val="24"/>
          <w:lang w:eastAsia="pl-PL"/>
        </w:rPr>
      </w:pPr>
      <w:r w:rsidRPr="00074FE8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41DD8C03" w14:textId="44C387EC" w:rsidR="00074FE8" w:rsidRPr="00074FE8" w:rsidRDefault="00074FE8" w:rsidP="00074FE8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1080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074FE8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074FE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C2A94C6" w14:textId="77777777" w:rsidR="00074FE8" w:rsidRDefault="00074FE8" w:rsidP="00074FE8">
      <w:pPr>
        <w:pStyle w:val="TableParagraph"/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43600FFA" w14:textId="1C423636" w:rsidR="00AB1529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26886A" w14:textId="77777777" w:rsidR="00074FE8" w:rsidRPr="00383D8F" w:rsidRDefault="00074FE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51BE43" w14:textId="3C22B04F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75FD0560" w14:textId="0452B963" w:rsidR="0095537D" w:rsidRPr="00383D8F" w:rsidRDefault="006524D6" w:rsidP="00776111">
      <w:pPr>
        <w:pStyle w:val="Nagwek1"/>
        <w:ind w:right="91"/>
        <w:jc w:val="center"/>
      </w:pPr>
      <w:r w:rsidRPr="00383D8F">
        <w:t>WARUNKI GWARANCJI, RĘKOJMI I SE</w:t>
      </w:r>
      <w:r w:rsidR="00182BA4">
        <w:t>RWISU GWARANCYJNEGO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C42803E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BE3DDC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1FCD17" w14:textId="77777777" w:rsidR="006524D6" w:rsidRPr="00383D8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38718669" w:rsidR="006524D6" w:rsidRPr="00FE3B3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FE3B3F">
        <w:rPr>
          <w:rFonts w:asciiTheme="minorHAnsi" w:hAnsiTheme="minorHAnsi" w:cstheme="minorHAnsi"/>
          <w:sz w:val="24"/>
          <w:szCs w:val="24"/>
        </w:rPr>
        <w:t>W</w:t>
      </w:r>
      <w:r w:rsidR="006524D6" w:rsidRPr="00FE3B3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1D1EC1">
        <w:rPr>
          <w:rFonts w:asciiTheme="minorHAnsi" w:hAnsiTheme="minorHAnsi" w:cstheme="minorHAnsi"/>
          <w:sz w:val="24"/>
          <w:szCs w:val="24"/>
        </w:rPr>
        <w:t xml:space="preserve"> rocznie</w:t>
      </w:r>
      <w:r w:rsidR="00B44CFB">
        <w:rPr>
          <w:rFonts w:asciiTheme="minorHAnsi" w:hAnsiTheme="minorHAnsi" w:cstheme="minorHAnsi"/>
          <w:sz w:val="24"/>
          <w:szCs w:val="24"/>
        </w:rPr>
        <w:t xml:space="preserve"> </w:t>
      </w:r>
      <w:r w:rsidR="00B44CFB" w:rsidRPr="00B91541">
        <w:rPr>
          <w:rFonts w:asciiTheme="minorHAnsi" w:hAnsiTheme="minorHAnsi" w:cstheme="minorHAnsi"/>
          <w:sz w:val="24"/>
          <w:szCs w:val="24"/>
        </w:rPr>
        <w:t>(jeżeli producent zaleca częstsze przeglądy konserwacyjne / serwisowe, to wtedy zgodnie z punktem 4)</w:t>
      </w:r>
      <w:r w:rsidR="006524D6" w:rsidRPr="00FE3B3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074FE8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E32A437" w14:textId="27FEC33F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</w:t>
      </w: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</w:t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………………………………………………………………..</w:t>
      </w:r>
    </w:p>
    <w:p w14:paraId="37D29B7C" w14:textId="3AD69B45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074FE8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074FE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84C1955" w14:textId="77777777" w:rsidR="00074FE8" w:rsidRDefault="00074FE8" w:rsidP="00074FE8">
      <w:pPr>
        <w:spacing w:after="240" w:line="360" w:lineRule="auto"/>
        <w:ind w:right="91"/>
        <w:jc w:val="both"/>
        <w:rPr>
          <w:rFonts w:asciiTheme="minorHAnsi" w:hAnsiTheme="minorHAnsi" w:cstheme="minorHAnsi"/>
        </w:rPr>
      </w:pPr>
    </w:p>
    <w:p w14:paraId="4863F81F" w14:textId="77777777" w:rsidR="00074FE8" w:rsidRPr="00074FE8" w:rsidRDefault="00074FE8" w:rsidP="00074FE8">
      <w:pPr>
        <w:spacing w:after="240" w:line="360" w:lineRule="auto"/>
        <w:ind w:right="91"/>
        <w:jc w:val="both"/>
        <w:rPr>
          <w:rFonts w:asciiTheme="minorHAnsi" w:hAnsiTheme="minorHAnsi" w:cstheme="minorHAnsi"/>
        </w:rPr>
      </w:pPr>
    </w:p>
    <w:p w14:paraId="1DF645E7" w14:textId="5EFA2C27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6</w:t>
      </w:r>
    </w:p>
    <w:p w14:paraId="0BE48218" w14:textId="3E89FBE3" w:rsidR="0095537D" w:rsidRPr="00383D8F" w:rsidRDefault="006524D6" w:rsidP="00776111">
      <w:pPr>
        <w:pStyle w:val="Nagwek1"/>
        <w:ind w:right="91"/>
        <w:jc w:val="center"/>
      </w:pPr>
      <w:bookmarkStart w:id="0" w:name="_GoBack"/>
      <w:bookmarkEnd w:id="0"/>
      <w:r w:rsidRPr="00383D8F">
        <w:t xml:space="preserve">PROCEDURA DOSTAW </w:t>
      </w:r>
      <w:r w:rsidR="00182BA4">
        <w:t>I ODBIORÓW URZĄDZEŃ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86D24E7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1C27EB1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2443233E" w14:textId="77777777" w:rsidR="008C0B5E" w:rsidRPr="00383D8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83D8F">
        <w:t>PROCEDURA DOSTAW URZĄDZEŃ</w:t>
      </w:r>
    </w:p>
    <w:p w14:paraId="36011A4D" w14:textId="77777777" w:rsidR="005F76C5" w:rsidRPr="00F8300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F83009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750BFC2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Wykonawca ponosi wszelkie koszty związane z podłączeniem urządzeń i/lub elementów wyposażenia do istniejących instalacji i/lub koszty modyfikacji tych instalacji. </w:t>
      </w:r>
      <w:r w:rsidRPr="00F83009">
        <w:rPr>
          <w:rFonts w:asciiTheme="minorHAnsi" w:hAnsiTheme="minorHAnsi" w:cstheme="minorHAnsi"/>
          <w:strike/>
          <w:color w:val="000000"/>
        </w:rPr>
        <w:t>Wykonawca ponosi też koszty ewentualnych robót budowlanych, związanych z dostosowaniem np. stropu lub ścian w pomieszczeniu w którym zostanie zainstalowane urządzenie.</w:t>
      </w:r>
      <w:r w:rsidRPr="000035E4">
        <w:rPr>
          <w:rFonts w:asciiTheme="minorHAnsi" w:hAnsiTheme="minorHAnsi" w:cstheme="minorHAnsi"/>
          <w:color w:val="000000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2920B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5F76C5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7C68BC78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</w:t>
      </w:r>
      <w:r w:rsidRPr="00B95CFD">
        <w:rPr>
          <w:rFonts w:asciiTheme="minorHAnsi" w:hAnsiTheme="minorHAnsi" w:cstheme="minorHAnsi"/>
          <w:color w:val="000000"/>
        </w:rPr>
        <w:t>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B95CFD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72AE5D8C" w14:textId="18AC9A1C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2647B8F9" w14:textId="30A0D03B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88FFEB4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372AF57D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</w:t>
      </w:r>
      <w:r w:rsidR="009314C5">
        <w:rPr>
          <w:rFonts w:asciiTheme="minorHAnsi" w:hAnsiTheme="minorHAnsi" w:cstheme="minorHAnsi"/>
          <w:color w:val="000000"/>
        </w:rPr>
        <w:t>ządzeń,</w:t>
      </w:r>
    </w:p>
    <w:p w14:paraId="15DA7EA5" w14:textId="0D73CB36" w:rsidR="009314C5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ab/>
        <w:t>Kartę gwarancyjną,</w:t>
      </w:r>
    </w:p>
    <w:p w14:paraId="2EAF7B7C" w14:textId="6F329CCE" w:rsidR="009314C5" w:rsidRPr="009314C5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Paszport techniczny urządzenia.</w:t>
      </w:r>
    </w:p>
    <w:p w14:paraId="002A610A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94FFC8" w14:textId="77777777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362588D4" w14:textId="58FEF984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68B2D18" w14:textId="3E7CC011" w:rsidR="0095537D" w:rsidRPr="003E1F20" w:rsidRDefault="0095537D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95537D" w:rsidRPr="003E1F20" w:rsidSect="00AB1678">
      <w:headerReference w:type="default" r:id="rId9"/>
      <w:footerReference w:type="default" r:id="rId10"/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6785" w14:textId="77777777" w:rsidR="00AA274F" w:rsidRDefault="00AA274F" w:rsidP="00EE7F46">
      <w:r>
        <w:separator/>
      </w:r>
    </w:p>
  </w:endnote>
  <w:endnote w:type="continuationSeparator" w:id="0">
    <w:p w14:paraId="5BADB891" w14:textId="77777777" w:rsidR="00AA274F" w:rsidRDefault="00AA274F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391E" w14:textId="77777777" w:rsidR="00AA274F" w:rsidRDefault="00AA274F" w:rsidP="00EE7F46">
      <w:r>
        <w:separator/>
      </w:r>
    </w:p>
  </w:footnote>
  <w:footnote w:type="continuationSeparator" w:id="0">
    <w:p w14:paraId="3FCA896B" w14:textId="77777777" w:rsidR="00AA274F" w:rsidRDefault="00AA274F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92EFB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34A8D"/>
    <w:multiLevelType w:val="hybridMultilevel"/>
    <w:tmpl w:val="B3C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B14F0"/>
    <w:multiLevelType w:val="hybridMultilevel"/>
    <w:tmpl w:val="E580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4EB0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2DE4"/>
    <w:multiLevelType w:val="hybridMultilevel"/>
    <w:tmpl w:val="908C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317B6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21C31"/>
    <w:multiLevelType w:val="hybridMultilevel"/>
    <w:tmpl w:val="074C27FA"/>
    <w:lvl w:ilvl="0" w:tplc="D3FE351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157"/>
    <w:multiLevelType w:val="hybridMultilevel"/>
    <w:tmpl w:val="34CE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1"/>
    <w:lvlOverride w:ilvl="0">
      <w:startOverride w:val="1"/>
    </w:lvlOverride>
  </w:num>
  <w:num w:numId="4">
    <w:abstractNumId w:val="17"/>
  </w:num>
  <w:num w:numId="5">
    <w:abstractNumId w:val="21"/>
    <w:lvlOverride w:ilvl="0">
      <w:startOverride w:val="1"/>
    </w:lvlOverride>
  </w:num>
  <w:num w:numId="6">
    <w:abstractNumId w:val="10"/>
  </w:num>
  <w:num w:numId="7">
    <w:abstractNumId w:val="0"/>
  </w:num>
  <w:num w:numId="8">
    <w:abstractNumId w:val="2"/>
  </w:num>
  <w:num w:numId="9">
    <w:abstractNumId w:val="14"/>
  </w:num>
  <w:num w:numId="10">
    <w:abstractNumId w:val="1"/>
  </w:num>
  <w:num w:numId="11">
    <w:abstractNumId w:val="23"/>
  </w:num>
  <w:num w:numId="12">
    <w:abstractNumId w:val="4"/>
  </w:num>
  <w:num w:numId="13">
    <w:abstractNumId w:val="7"/>
  </w:num>
  <w:num w:numId="14">
    <w:abstractNumId w:val="9"/>
  </w:num>
  <w:num w:numId="15">
    <w:abstractNumId w:val="25"/>
  </w:num>
  <w:num w:numId="16">
    <w:abstractNumId w:val="5"/>
  </w:num>
  <w:num w:numId="17">
    <w:abstractNumId w:val="24"/>
  </w:num>
  <w:num w:numId="18">
    <w:abstractNumId w:val="13"/>
  </w:num>
  <w:num w:numId="19">
    <w:abstractNumId w:val="16"/>
  </w:num>
  <w:num w:numId="20">
    <w:abstractNumId w:val="3"/>
  </w:num>
  <w:num w:numId="21">
    <w:abstractNumId w:val="19"/>
  </w:num>
  <w:num w:numId="22">
    <w:abstractNumId w:val="8"/>
  </w:num>
  <w:num w:numId="23">
    <w:abstractNumId w:val="6"/>
  </w:num>
  <w:num w:numId="24">
    <w:abstractNumId w:val="18"/>
  </w:num>
  <w:num w:numId="25">
    <w:abstractNumId w:val="12"/>
  </w:num>
  <w:num w:numId="26">
    <w:abstractNumId w:val="15"/>
  </w:num>
  <w:num w:numId="27">
    <w:abstractNumId w:val="22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30067"/>
    <w:rsid w:val="00040867"/>
    <w:rsid w:val="00044D4B"/>
    <w:rsid w:val="00046B06"/>
    <w:rsid w:val="000478D5"/>
    <w:rsid w:val="00047F68"/>
    <w:rsid w:val="00055D70"/>
    <w:rsid w:val="00061EA7"/>
    <w:rsid w:val="00074FE8"/>
    <w:rsid w:val="00077F8E"/>
    <w:rsid w:val="000A4DE4"/>
    <w:rsid w:val="000C3C7E"/>
    <w:rsid w:val="00101D24"/>
    <w:rsid w:val="00105C47"/>
    <w:rsid w:val="001113AD"/>
    <w:rsid w:val="00126F59"/>
    <w:rsid w:val="001450AB"/>
    <w:rsid w:val="001507AF"/>
    <w:rsid w:val="00161D53"/>
    <w:rsid w:val="001743A8"/>
    <w:rsid w:val="00176E65"/>
    <w:rsid w:val="00182BA4"/>
    <w:rsid w:val="0018662F"/>
    <w:rsid w:val="00187B9D"/>
    <w:rsid w:val="001A2456"/>
    <w:rsid w:val="001A5F2D"/>
    <w:rsid w:val="001B1256"/>
    <w:rsid w:val="001B4EF8"/>
    <w:rsid w:val="001B635D"/>
    <w:rsid w:val="001D1EC1"/>
    <w:rsid w:val="001E0D8A"/>
    <w:rsid w:val="001F09DD"/>
    <w:rsid w:val="001F68B0"/>
    <w:rsid w:val="001F79C8"/>
    <w:rsid w:val="002002E6"/>
    <w:rsid w:val="00204CA6"/>
    <w:rsid w:val="002135F9"/>
    <w:rsid w:val="0022241B"/>
    <w:rsid w:val="00224606"/>
    <w:rsid w:val="00226702"/>
    <w:rsid w:val="0024083A"/>
    <w:rsid w:val="002465BE"/>
    <w:rsid w:val="00260A47"/>
    <w:rsid w:val="00265CE9"/>
    <w:rsid w:val="00272163"/>
    <w:rsid w:val="00282DF3"/>
    <w:rsid w:val="002920BB"/>
    <w:rsid w:val="002B1B84"/>
    <w:rsid w:val="002B51F3"/>
    <w:rsid w:val="002D5AED"/>
    <w:rsid w:val="002E3BF6"/>
    <w:rsid w:val="002F23FD"/>
    <w:rsid w:val="00300951"/>
    <w:rsid w:val="003052A0"/>
    <w:rsid w:val="0032320B"/>
    <w:rsid w:val="0032527B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01CB2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8526F"/>
    <w:rsid w:val="00490600"/>
    <w:rsid w:val="00491435"/>
    <w:rsid w:val="00493985"/>
    <w:rsid w:val="004A0C32"/>
    <w:rsid w:val="004A1C6C"/>
    <w:rsid w:val="004B4AFF"/>
    <w:rsid w:val="004B5071"/>
    <w:rsid w:val="004B79E8"/>
    <w:rsid w:val="004C3FEF"/>
    <w:rsid w:val="004F19ED"/>
    <w:rsid w:val="004F792A"/>
    <w:rsid w:val="00501119"/>
    <w:rsid w:val="00501E6D"/>
    <w:rsid w:val="00502298"/>
    <w:rsid w:val="00505232"/>
    <w:rsid w:val="00554108"/>
    <w:rsid w:val="00563D19"/>
    <w:rsid w:val="00582C80"/>
    <w:rsid w:val="005854BC"/>
    <w:rsid w:val="00586EBC"/>
    <w:rsid w:val="005D79DD"/>
    <w:rsid w:val="005F58EA"/>
    <w:rsid w:val="005F76C5"/>
    <w:rsid w:val="00601B8F"/>
    <w:rsid w:val="006110C6"/>
    <w:rsid w:val="006346FA"/>
    <w:rsid w:val="006356B2"/>
    <w:rsid w:val="00636B12"/>
    <w:rsid w:val="006524D6"/>
    <w:rsid w:val="0065570C"/>
    <w:rsid w:val="0065610B"/>
    <w:rsid w:val="006720BC"/>
    <w:rsid w:val="006818E3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49E4"/>
    <w:rsid w:val="006F4559"/>
    <w:rsid w:val="00724D28"/>
    <w:rsid w:val="00724DDB"/>
    <w:rsid w:val="007278B2"/>
    <w:rsid w:val="00731ADB"/>
    <w:rsid w:val="007403F5"/>
    <w:rsid w:val="007409DD"/>
    <w:rsid w:val="00740D0D"/>
    <w:rsid w:val="00754F54"/>
    <w:rsid w:val="00773D41"/>
    <w:rsid w:val="00776111"/>
    <w:rsid w:val="007765B7"/>
    <w:rsid w:val="00796734"/>
    <w:rsid w:val="007B11BD"/>
    <w:rsid w:val="007B7120"/>
    <w:rsid w:val="007C088D"/>
    <w:rsid w:val="007E6909"/>
    <w:rsid w:val="007F028C"/>
    <w:rsid w:val="007F140B"/>
    <w:rsid w:val="008022DF"/>
    <w:rsid w:val="008500A3"/>
    <w:rsid w:val="008901DD"/>
    <w:rsid w:val="008A08AC"/>
    <w:rsid w:val="008A2501"/>
    <w:rsid w:val="008C078F"/>
    <w:rsid w:val="008C0B5E"/>
    <w:rsid w:val="008C39CA"/>
    <w:rsid w:val="008E01BD"/>
    <w:rsid w:val="008E72E9"/>
    <w:rsid w:val="00900A37"/>
    <w:rsid w:val="009038CF"/>
    <w:rsid w:val="00915624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A0412"/>
    <w:rsid w:val="009A503C"/>
    <w:rsid w:val="009A5ACF"/>
    <w:rsid w:val="009F65FE"/>
    <w:rsid w:val="00A0045D"/>
    <w:rsid w:val="00A0484F"/>
    <w:rsid w:val="00A0772F"/>
    <w:rsid w:val="00A2392A"/>
    <w:rsid w:val="00A24C9D"/>
    <w:rsid w:val="00A32693"/>
    <w:rsid w:val="00A41332"/>
    <w:rsid w:val="00A43598"/>
    <w:rsid w:val="00A4626D"/>
    <w:rsid w:val="00A46452"/>
    <w:rsid w:val="00A86417"/>
    <w:rsid w:val="00A97FC5"/>
    <w:rsid w:val="00AA274F"/>
    <w:rsid w:val="00AB1529"/>
    <w:rsid w:val="00AB1678"/>
    <w:rsid w:val="00AD5B42"/>
    <w:rsid w:val="00AE722E"/>
    <w:rsid w:val="00AE784F"/>
    <w:rsid w:val="00B11A16"/>
    <w:rsid w:val="00B12707"/>
    <w:rsid w:val="00B137A3"/>
    <w:rsid w:val="00B16969"/>
    <w:rsid w:val="00B43872"/>
    <w:rsid w:val="00B44CFB"/>
    <w:rsid w:val="00B617AC"/>
    <w:rsid w:val="00B635EB"/>
    <w:rsid w:val="00B66438"/>
    <w:rsid w:val="00B81217"/>
    <w:rsid w:val="00B82E97"/>
    <w:rsid w:val="00B87E66"/>
    <w:rsid w:val="00B95CFD"/>
    <w:rsid w:val="00B9722A"/>
    <w:rsid w:val="00BB6E6D"/>
    <w:rsid w:val="00BC4EC7"/>
    <w:rsid w:val="00BE3F6E"/>
    <w:rsid w:val="00BE6DCA"/>
    <w:rsid w:val="00BF2C33"/>
    <w:rsid w:val="00BF331E"/>
    <w:rsid w:val="00BF4E8F"/>
    <w:rsid w:val="00BF62BC"/>
    <w:rsid w:val="00C253CB"/>
    <w:rsid w:val="00C27D0D"/>
    <w:rsid w:val="00C32D06"/>
    <w:rsid w:val="00C33586"/>
    <w:rsid w:val="00C4066E"/>
    <w:rsid w:val="00C464D9"/>
    <w:rsid w:val="00C5333A"/>
    <w:rsid w:val="00C749DD"/>
    <w:rsid w:val="00C7707F"/>
    <w:rsid w:val="00CA3C42"/>
    <w:rsid w:val="00CB4D66"/>
    <w:rsid w:val="00CC2736"/>
    <w:rsid w:val="00CE7529"/>
    <w:rsid w:val="00CF59F5"/>
    <w:rsid w:val="00D25BA0"/>
    <w:rsid w:val="00D470E1"/>
    <w:rsid w:val="00D5476E"/>
    <w:rsid w:val="00D55035"/>
    <w:rsid w:val="00D6367F"/>
    <w:rsid w:val="00DC0D5C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4595A"/>
    <w:rsid w:val="00E5542B"/>
    <w:rsid w:val="00E73AC0"/>
    <w:rsid w:val="00E80CC1"/>
    <w:rsid w:val="00E8470D"/>
    <w:rsid w:val="00E951A1"/>
    <w:rsid w:val="00EB7425"/>
    <w:rsid w:val="00ED21D6"/>
    <w:rsid w:val="00EE3D16"/>
    <w:rsid w:val="00EE7348"/>
    <w:rsid w:val="00EE7F46"/>
    <w:rsid w:val="00F01A8C"/>
    <w:rsid w:val="00F304AD"/>
    <w:rsid w:val="00F475F6"/>
    <w:rsid w:val="00F50300"/>
    <w:rsid w:val="00F52419"/>
    <w:rsid w:val="00F5472A"/>
    <w:rsid w:val="00F62803"/>
    <w:rsid w:val="00F92A4E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635D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CE5E-B5F0-4361-A055-63D3FDE5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2737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12</cp:revision>
  <cp:lastPrinted>2022-07-26T06:38:00Z</cp:lastPrinted>
  <dcterms:created xsi:type="dcterms:W3CDTF">2023-06-12T10:38:00Z</dcterms:created>
  <dcterms:modified xsi:type="dcterms:W3CDTF">2023-09-27T11:37:00Z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