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EB4DB" w14:textId="77777777" w:rsidR="00C464AB" w:rsidRPr="0012142B" w:rsidRDefault="00C464AB" w:rsidP="00C464AB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26FD1219" w14:textId="33B35FD2" w:rsidR="00C464AB" w:rsidRPr="003E2F49" w:rsidRDefault="00C464AB" w:rsidP="00C464AB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3</w:t>
      </w:r>
    </w:p>
    <w:p w14:paraId="2CBF7929" w14:textId="77777777" w:rsidR="00C464AB" w:rsidRPr="0012142B" w:rsidRDefault="00C464AB" w:rsidP="00C464A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897DCA8" w14:textId="77777777" w:rsidR="00C464AB" w:rsidRPr="0012142B" w:rsidRDefault="00C464AB" w:rsidP="00C464AB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wraz z jej wdrożeniem do: </w:t>
      </w:r>
    </w:p>
    <w:p w14:paraId="3CF37FE4" w14:textId="04F8ECCE" w:rsidR="00C464AB" w:rsidRPr="00CC2818" w:rsidRDefault="00C464AB" w:rsidP="00C464AB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47E3441" w14:textId="77777777" w:rsidR="00C464AB" w:rsidRPr="00CC2818" w:rsidRDefault="00C464AB" w:rsidP="00C464AB">
      <w:pPr>
        <w:ind w:right="141"/>
        <w:rPr>
          <w:rFonts w:ascii="Calibri" w:hAnsi="Calibri" w:cs="Calibri"/>
          <w:b/>
        </w:rPr>
      </w:pPr>
    </w:p>
    <w:p w14:paraId="58A78711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DF56EC5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BA73C01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19B5D44C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F9E2A98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21D4F1E5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0150AE98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0F46ACE0" w14:textId="77777777" w:rsidR="00C464AB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2562D4EF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5B8FA5B5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30D500E3" w14:textId="77777777" w:rsidR="00C464AB" w:rsidRPr="003E2F49" w:rsidRDefault="00C464AB" w:rsidP="00C464AB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68FC473" w14:textId="77777777" w:rsidR="00C464AB" w:rsidRPr="003E2F49" w:rsidRDefault="00C464AB" w:rsidP="00C464AB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047074A1" w14:textId="77777777" w:rsidR="00C464AB" w:rsidRDefault="00C464AB" w:rsidP="00C464A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936F9E9" w14:textId="77777777" w:rsidR="00C464AB" w:rsidRDefault="00C464AB" w:rsidP="00C464AB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A1431B6" w14:textId="77777777" w:rsidR="009C120A" w:rsidRDefault="009C120A" w:rsidP="009C120A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23C3F606" w14:textId="77777777" w:rsidR="009C120A" w:rsidRDefault="009C120A" w:rsidP="009C120A">
      <w:pPr>
        <w:widowControl/>
        <w:autoSpaceDE/>
        <w:autoSpaceDN/>
        <w:spacing w:line="360" w:lineRule="auto"/>
        <w:rPr>
          <w:rFonts w:asciiTheme="minorHAnsi" w:hAnsiTheme="minorHAnsi" w:cstheme="minorHAnsi"/>
          <w:b/>
          <w:sz w:val="24"/>
          <w:szCs w:val="24"/>
        </w:rPr>
        <w:sectPr w:rsidR="009C120A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bookmarkStart w:id="0" w:name="_GoBack"/>
      <w:bookmarkEnd w:id="0"/>
    </w:p>
    <w:p w14:paraId="5D73DEC1" w14:textId="036FD189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</w:t>
      </w:r>
      <w:r w:rsidR="00C464AB">
        <w:rPr>
          <w:rFonts w:asciiTheme="minorHAnsi" w:hAnsiTheme="minorHAnsi" w:cstheme="minorHAnsi"/>
          <w:b/>
          <w:sz w:val="20"/>
          <w:szCs w:val="20"/>
        </w:rPr>
        <w:t>2</w:t>
      </w:r>
    </w:p>
    <w:p w14:paraId="41358847" w14:textId="551543B9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A93C63">
        <w:t>3</w:t>
      </w:r>
    </w:p>
    <w:p w14:paraId="15F57589" w14:textId="1DBC6F9D" w:rsidR="00E8669D" w:rsidRPr="0012142B" w:rsidRDefault="00A93C63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6C56A3">
        <w:rPr>
          <w:rFonts w:asciiTheme="minorHAnsi" w:hAnsiTheme="minorHAnsi" w:cstheme="minorHAnsi"/>
          <w:b/>
          <w:sz w:val="28"/>
          <w:u w:val="single"/>
        </w:rPr>
        <w:t>10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012A9CD2" w:rsidR="00E44E82" w:rsidRPr="0012142B" w:rsidRDefault="006524D6" w:rsidP="00C464AB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5622A420" w14:textId="5872F8B8" w:rsid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System jednorazowy (single-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use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>) NPWT do leczenia ran otwartych i zamkniętych, do stosowania w szpitalu i opiece domowej.</w:t>
      </w:r>
    </w:p>
    <w:p w14:paraId="2C9E5F55" w14:textId="77777777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Zastosowanie w leczeniu:</w:t>
      </w:r>
    </w:p>
    <w:p w14:paraId="52BC069C" w14:textId="0A5AEDF3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F501F" w:rsidRPr="004F501F">
        <w:rPr>
          <w:rFonts w:asciiTheme="minorHAnsi" w:hAnsiTheme="minorHAnsi" w:cstheme="minorHAnsi"/>
          <w:sz w:val="24"/>
          <w:szCs w:val="24"/>
        </w:rPr>
        <w:t>wrzodzeń żylnych</w:t>
      </w:r>
      <w:r w:rsidR="004F501F">
        <w:rPr>
          <w:rFonts w:asciiTheme="minorHAnsi" w:hAnsiTheme="minorHAnsi" w:cstheme="minorHAnsi"/>
          <w:sz w:val="24"/>
          <w:szCs w:val="24"/>
        </w:rPr>
        <w:t>,</w:t>
      </w:r>
    </w:p>
    <w:p w14:paraId="12567A7F" w14:textId="5B9DFC6E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F501F" w:rsidRPr="004F501F">
        <w:rPr>
          <w:rFonts w:asciiTheme="minorHAnsi" w:hAnsiTheme="minorHAnsi" w:cstheme="minorHAnsi"/>
          <w:sz w:val="24"/>
          <w:szCs w:val="24"/>
        </w:rPr>
        <w:t>an pooperacyjnych</w:t>
      </w:r>
      <w:r w:rsidR="004F501F">
        <w:rPr>
          <w:rFonts w:asciiTheme="minorHAnsi" w:hAnsiTheme="minorHAnsi" w:cstheme="minorHAnsi"/>
          <w:sz w:val="24"/>
          <w:szCs w:val="24"/>
        </w:rPr>
        <w:t>,</w:t>
      </w:r>
    </w:p>
    <w:p w14:paraId="1AA61C3A" w14:textId="688D845B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4F501F" w:rsidRPr="004F501F">
        <w:rPr>
          <w:rFonts w:asciiTheme="minorHAnsi" w:hAnsiTheme="minorHAnsi" w:cstheme="minorHAnsi"/>
          <w:sz w:val="24"/>
          <w:szCs w:val="24"/>
        </w:rPr>
        <w:t>łębokich rany urazowych</w:t>
      </w:r>
      <w:r w:rsidR="004F501F">
        <w:rPr>
          <w:rFonts w:asciiTheme="minorHAnsi" w:hAnsiTheme="minorHAnsi" w:cstheme="minorHAnsi"/>
          <w:sz w:val="24"/>
          <w:szCs w:val="24"/>
        </w:rPr>
        <w:t>,</w:t>
      </w:r>
    </w:p>
    <w:p w14:paraId="7195987C" w14:textId="704E1325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4F501F" w:rsidRPr="004F501F">
        <w:rPr>
          <w:rFonts w:asciiTheme="minorHAnsi" w:hAnsiTheme="minorHAnsi" w:cstheme="minorHAnsi"/>
          <w:sz w:val="24"/>
          <w:szCs w:val="24"/>
        </w:rPr>
        <w:t>rzeszczepów płatów skórnych</w:t>
      </w:r>
      <w:r w:rsidR="004F501F">
        <w:rPr>
          <w:rFonts w:asciiTheme="minorHAnsi" w:hAnsiTheme="minorHAnsi" w:cstheme="minorHAnsi"/>
          <w:sz w:val="24"/>
          <w:szCs w:val="24"/>
        </w:rPr>
        <w:t>,</w:t>
      </w:r>
    </w:p>
    <w:p w14:paraId="1307CED3" w14:textId="2F7ED9A0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4F501F" w:rsidRPr="004F501F">
        <w:rPr>
          <w:rFonts w:asciiTheme="minorHAnsi" w:hAnsiTheme="minorHAnsi" w:cstheme="minorHAnsi"/>
          <w:sz w:val="24"/>
          <w:szCs w:val="24"/>
        </w:rPr>
        <w:t>ozchodzących się nacięć chirurgicznych</w:t>
      </w:r>
      <w:r w:rsidR="004F501F">
        <w:rPr>
          <w:rFonts w:asciiTheme="minorHAnsi" w:hAnsiTheme="minorHAnsi" w:cstheme="minorHAnsi"/>
          <w:sz w:val="24"/>
          <w:szCs w:val="24"/>
        </w:rPr>
        <w:t>,</w:t>
      </w:r>
    </w:p>
    <w:p w14:paraId="1A08FB93" w14:textId="42C98A68" w:rsidR="004F501F" w:rsidRPr="004F501F" w:rsidRDefault="00B45928" w:rsidP="004F501F">
      <w:pPr>
        <w:pStyle w:val="Akapitzlist"/>
        <w:numPr>
          <w:ilvl w:val="0"/>
          <w:numId w:val="3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4F501F" w:rsidRPr="004F501F">
        <w:rPr>
          <w:rFonts w:asciiTheme="minorHAnsi" w:hAnsiTheme="minorHAnsi" w:cstheme="minorHAnsi"/>
          <w:sz w:val="24"/>
          <w:szCs w:val="24"/>
        </w:rPr>
        <w:t>wrzodzeń cukrzycowych lub neuropatycznych</w:t>
      </w:r>
      <w:r w:rsidR="004F501F">
        <w:rPr>
          <w:rFonts w:asciiTheme="minorHAnsi" w:hAnsiTheme="minorHAnsi" w:cstheme="minorHAnsi"/>
          <w:sz w:val="24"/>
          <w:szCs w:val="24"/>
        </w:rPr>
        <w:t>.</w:t>
      </w:r>
    </w:p>
    <w:p w14:paraId="23686C92" w14:textId="1EC9857C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Terapia ciągła z nominalnym podciśnieniem ok. –80 mmHg (dopuszcza się techniczną tolerancję wg IFU producenta).</w:t>
      </w:r>
    </w:p>
    <w:p w14:paraId="153DFD24" w14:textId="28CAAA2D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Okres działania jednostki pompującej: do 14 dni; pojedynczy opatrunek: do 7 dni (w zależności od wysięku i zaleceń IFU).</w:t>
      </w:r>
    </w:p>
    <w:p w14:paraId="54F2F3AC" w14:textId="6C09A2F4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System bez kanistra (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canister-free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>) — kontrola wysięku przez wielowarstwowy opatrunek chłonny z półprzepuszczalnym filmem.</w:t>
      </w:r>
    </w:p>
    <w:p w14:paraId="101D776F" w14:textId="26033774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Zasilanie bateryjne (baterie powszechnie dostępne); wskaźnik niskiego poziomu baterii.</w:t>
      </w:r>
    </w:p>
    <w:p w14:paraId="7F43E797" w14:textId="01909FE4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Wskaźniki świetlne (LED) co najmniej dla: status terapii, nieszczelności, nasyce</w:t>
      </w:r>
      <w:r>
        <w:rPr>
          <w:rFonts w:asciiTheme="minorHAnsi" w:hAnsiTheme="minorHAnsi" w:cstheme="minorHAnsi"/>
          <w:sz w:val="24"/>
          <w:szCs w:val="24"/>
        </w:rPr>
        <w:t>nia opatrunku, niskiej baterii.</w:t>
      </w:r>
    </w:p>
    <w:p w14:paraId="28ADA298" w14:textId="4F680383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Obsługa jednym przyciskiem (włącz/pauza/wznowienie); automatyczne próby wznowienia terapii po usunięciu nieszczelności.</w:t>
      </w:r>
    </w:p>
    <w:p w14:paraId="662F7AEB" w14:textId="77777777" w:rsid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 xml:space="preserve">Opatrunek jednorazowy, sterylny, 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canister-free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 xml:space="preserve"> z portem, o powierzchni czynnej ≥ 350 cm² (np. rozmiar zbliżony do 20×20 cm), z marginesem adhezyjnym zapewniającym szczelność. Dopuszcza </w:t>
      </w:r>
      <w:r w:rsidRPr="004F501F">
        <w:rPr>
          <w:rFonts w:asciiTheme="minorHAnsi" w:hAnsiTheme="minorHAnsi" w:cstheme="minorHAnsi"/>
          <w:sz w:val="24"/>
          <w:szCs w:val="24"/>
        </w:rPr>
        <w:lastRenderedPageBreak/>
        <w:t xml:space="preserve">się rozmiary równoważne spełniające powyższe. </w:t>
      </w:r>
    </w:p>
    <w:p w14:paraId="45D138CB" w14:textId="47CBC7B1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>Zestaw: jednostka pompująca, co najmniej 2 sterylne opatrunki jednorazowe kompatybilne z pompą, element mocujący/uchwyt oraz paski/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fixation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strips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 xml:space="preserve"> (lub rozwiązania równoważne zapewniające ten sam efekt użytkowy).</w:t>
      </w:r>
    </w:p>
    <w:p w14:paraId="73327221" w14:textId="6FB8A7C4" w:rsidR="004F501F" w:rsidRPr="004F501F" w:rsidRDefault="004F501F" w:rsidP="004F501F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4F501F">
        <w:rPr>
          <w:rFonts w:asciiTheme="minorHAnsi" w:hAnsiTheme="minorHAnsi" w:cstheme="minorHAnsi"/>
          <w:sz w:val="24"/>
          <w:szCs w:val="24"/>
        </w:rPr>
        <w:t xml:space="preserve">Materiały mające kontakt z raną: sterylne, jednorazowe, </w:t>
      </w:r>
      <w:proofErr w:type="spellStart"/>
      <w:r w:rsidRPr="004F501F">
        <w:rPr>
          <w:rFonts w:asciiTheme="minorHAnsi" w:hAnsiTheme="minorHAnsi" w:cstheme="minorHAnsi"/>
          <w:sz w:val="24"/>
          <w:szCs w:val="24"/>
        </w:rPr>
        <w:t>biokompatybilne</w:t>
      </w:r>
      <w:proofErr w:type="spellEnd"/>
      <w:r w:rsidRPr="004F501F">
        <w:rPr>
          <w:rFonts w:asciiTheme="minorHAnsi" w:hAnsiTheme="minorHAnsi" w:cstheme="minorHAnsi"/>
          <w:sz w:val="24"/>
          <w:szCs w:val="24"/>
        </w:rPr>
        <w:t>.</w:t>
      </w:r>
    </w:p>
    <w:p w14:paraId="360C3D5C" w14:textId="40F5CBF5" w:rsidR="00A479BC" w:rsidRPr="003358A9" w:rsidRDefault="00A479BC" w:rsidP="003358A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7BDC13CB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C464AB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4F501F">
      <w:pPr>
        <w:pStyle w:val="Akapitzlist"/>
        <w:numPr>
          <w:ilvl w:val="0"/>
          <w:numId w:val="3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4F501F">
      <w:pPr>
        <w:pStyle w:val="Akapitzlist"/>
        <w:numPr>
          <w:ilvl w:val="0"/>
          <w:numId w:val="3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4F501F">
      <w:pPr>
        <w:pStyle w:val="Akapitzlist"/>
        <w:numPr>
          <w:ilvl w:val="0"/>
          <w:numId w:val="3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710AF432" w14:textId="77777777" w:rsidR="009C120A" w:rsidRDefault="009C120A" w:rsidP="009C120A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4C47200B" w14:textId="77777777" w:rsidR="009C120A" w:rsidRDefault="009C120A" w:rsidP="009C120A">
      <w:pPr>
        <w:widowControl/>
        <w:autoSpaceDE/>
        <w:autoSpaceDN/>
        <w:spacing w:line="360" w:lineRule="auto"/>
        <w:rPr>
          <w:rFonts w:asciiTheme="minorHAnsi" w:hAnsiTheme="minorHAnsi" w:cstheme="minorHAnsi"/>
          <w:b/>
          <w:sz w:val="24"/>
          <w:szCs w:val="24"/>
        </w:rPr>
        <w:sectPr w:rsidR="009C120A">
          <w:pgSz w:w="11910" w:h="16840"/>
          <w:pgMar w:top="964" w:right="853" w:bottom="278" w:left="851" w:header="709" w:footer="709" w:gutter="0"/>
          <w:cols w:space="708"/>
        </w:sectPr>
      </w:pPr>
    </w:p>
    <w:p w14:paraId="0B935678" w14:textId="156DE839" w:rsidR="00C464AB" w:rsidRDefault="00C464AB" w:rsidP="00C464AB">
      <w:pPr>
        <w:pStyle w:val="Nagwek1"/>
        <w:ind w:right="91"/>
        <w:jc w:val="both"/>
      </w:pPr>
      <w:r w:rsidRPr="00BE6C76">
        <w:lastRenderedPageBreak/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3</w:t>
      </w:r>
    </w:p>
    <w:p w14:paraId="60C0AF8E" w14:textId="77777777" w:rsidR="00C464AB" w:rsidRPr="0012142B" w:rsidRDefault="00C464AB" w:rsidP="00C464A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B1BD757" w14:textId="77777777" w:rsidR="00C464AB" w:rsidRPr="0012142B" w:rsidRDefault="00C464AB" w:rsidP="00C464AB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wraz z jej wdrożeniem do: </w:t>
      </w:r>
    </w:p>
    <w:p w14:paraId="7991DE11" w14:textId="56210F01" w:rsidR="00C464AB" w:rsidRDefault="00C464AB" w:rsidP="00C464AB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C013440" w14:textId="77777777" w:rsidR="00C464AB" w:rsidRPr="00BE6C76" w:rsidRDefault="00C464AB" w:rsidP="00C464AB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C464AB" w:rsidRPr="00BE6C76" w14:paraId="45F8B46F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3E61AE" w14:textId="77777777" w:rsidR="00C464AB" w:rsidRPr="00BE6C76" w:rsidRDefault="00C464AB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360F60" w14:textId="77777777" w:rsidR="00C464AB" w:rsidRPr="00BE6C76" w:rsidRDefault="00C464AB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464AB" w:rsidRPr="00BE6C76" w14:paraId="31F4FB35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2EE901" w14:textId="77777777" w:rsidR="00C464AB" w:rsidRPr="00BE6C76" w:rsidRDefault="00C464AB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DADAC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4EC5EF3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6B036458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C2D7C86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80F2AEB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8EE7E84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7078859C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AAAB505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1EF6AB0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8DCD507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0AE54763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8F04C47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5AAF2D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A323084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127C03B5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AA702BB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420A0D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62C64671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14:paraId="6B89590E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F2A5F88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lastRenderedPageBreak/>
              <w:t>…………………………………………………………………</w:t>
            </w:r>
          </w:p>
          <w:p w14:paraId="679F982E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709E0A41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79FC4EE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5F6B03E6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78179A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D23DE9F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54203807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73123C35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1D9CAB07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E59E31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7968CD80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44A0AEE5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36269B8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517EB293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4959F7A" w14:textId="77777777" w:rsidR="00C464AB" w:rsidRPr="00BE6C76" w:rsidRDefault="00C464AB" w:rsidP="00C464AB">
            <w:pPr>
              <w:widowControl/>
              <w:numPr>
                <w:ilvl w:val="0"/>
                <w:numId w:val="39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7B13B846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E915508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877FAA1" w14:textId="77777777" w:rsidR="00C464AB" w:rsidRPr="00BE6C76" w:rsidRDefault="00C464AB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5DD6F3D0" w14:textId="77777777" w:rsidR="00C464AB" w:rsidRPr="00BE6C76" w:rsidRDefault="00C464AB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1A546009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464AB" w:rsidRPr="00BE6C76" w14:paraId="3AE08A77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55F41A" w14:textId="77777777" w:rsidR="00C464AB" w:rsidRPr="00BE6C76" w:rsidRDefault="00C464AB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246BC" w14:textId="77777777" w:rsidR="00C464AB" w:rsidRPr="00BE6C76" w:rsidRDefault="00C464AB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464AB" w:rsidRPr="00BE6C76" w14:paraId="0AF934B6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CCDD9" w14:textId="77777777" w:rsidR="00C464AB" w:rsidRPr="00BE6C76" w:rsidRDefault="00C464AB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1D6C5" w14:textId="77777777" w:rsidR="00C464AB" w:rsidRPr="00BE6C76" w:rsidRDefault="00C464AB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464AB" w:rsidRPr="00BE6C76" w14:paraId="5F6934DB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67E863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4E4ACF44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26FE517A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05886CC5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5DC184ED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4155D40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22A74255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05A887CE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2D6EA3E8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0892CC5B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02B68712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2F686002" w14:textId="77777777" w:rsidR="00C464AB" w:rsidRPr="00BE6C76" w:rsidRDefault="00C464AB" w:rsidP="00C464AB">
            <w:pPr>
              <w:pStyle w:val="Akapitzlist"/>
              <w:widowControl/>
              <w:numPr>
                <w:ilvl w:val="0"/>
                <w:numId w:val="40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5237F57C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47D16ED6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4895EAF2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lastRenderedPageBreak/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3A6332A3" w14:textId="77777777" w:rsidR="00C464AB" w:rsidRPr="00BE6C76" w:rsidRDefault="00C464AB" w:rsidP="00C464AB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A9A6033" w14:textId="77777777" w:rsidR="00C464AB" w:rsidRPr="00BE6C76" w:rsidRDefault="00C464AB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464AB" w:rsidRPr="00BE6C76" w14:paraId="1149F31B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D9577" w14:textId="77777777" w:rsidR="00C464AB" w:rsidRPr="00BE6C76" w:rsidRDefault="00C464AB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BE341" w14:textId="77777777" w:rsidR="00C464AB" w:rsidRPr="00BE6C76" w:rsidRDefault="00C464AB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464AB" w:rsidRPr="00BE6C76" w14:paraId="072622EA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01904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67CC8FDC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2DB7C9DC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7EC7B5B7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E93218B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7D7AB945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68227BDB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DF68110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44C209FF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6306448A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02805839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</w:t>
            </w: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10C54060" w14:textId="77777777" w:rsidR="00C464AB" w:rsidRPr="00BE6C76" w:rsidRDefault="00C464AB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7A436928" w14:textId="77777777" w:rsidR="00C464AB" w:rsidRPr="00BE6C76" w:rsidRDefault="00C464AB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5D161664" w14:textId="77777777" w:rsidR="00C464AB" w:rsidRPr="00AC7324" w:rsidRDefault="00C464AB" w:rsidP="00C464AB">
      <w:pPr>
        <w:pStyle w:val="Bezodstpw"/>
        <w:jc w:val="right"/>
        <w:rPr>
          <w:rStyle w:val="Uwydatnienie"/>
          <w:rFonts w:cs="Calibri"/>
          <w:i w:val="0"/>
        </w:rPr>
      </w:pPr>
    </w:p>
    <w:p w14:paraId="3365DAB0" w14:textId="77777777" w:rsidR="00C464AB" w:rsidRPr="00BE6C76" w:rsidRDefault="00C464AB" w:rsidP="00C464AB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65835C0A" w14:textId="77777777" w:rsidR="00C464AB" w:rsidRPr="00BE6C76" w:rsidRDefault="00C464AB" w:rsidP="00C464AB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7B6EDE1F" w14:textId="77777777" w:rsidR="00C464AB" w:rsidRPr="00BE6C76" w:rsidRDefault="00C464AB" w:rsidP="00C464AB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674C3A14" w14:textId="77777777" w:rsidR="00C464AB" w:rsidRDefault="00C464AB" w:rsidP="00C464A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25D03FA" w14:textId="77777777" w:rsidR="00C464AB" w:rsidRDefault="00C464AB" w:rsidP="00C464AB"/>
    <w:p w14:paraId="756E918B" w14:textId="77777777" w:rsidR="00C464AB" w:rsidRDefault="00C464AB" w:rsidP="00C464AB">
      <w:pPr>
        <w:rPr>
          <w:rFonts w:ascii="Calibri" w:hAnsi="Calibri" w:cs="Calibri"/>
          <w:b/>
        </w:rPr>
      </w:pPr>
    </w:p>
    <w:p w14:paraId="2DD267ED" w14:textId="77777777" w:rsidR="00C464AB" w:rsidRDefault="00C464AB" w:rsidP="00C464AB">
      <w:pPr>
        <w:rPr>
          <w:rFonts w:ascii="Calibri" w:hAnsi="Calibri" w:cs="Calibri"/>
          <w:b/>
        </w:rPr>
      </w:pPr>
    </w:p>
    <w:p w14:paraId="357B2781" w14:textId="77777777" w:rsidR="009C120A" w:rsidRDefault="009C120A" w:rsidP="009C120A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50A7561B" w14:textId="77777777" w:rsidR="009C120A" w:rsidRDefault="009C120A" w:rsidP="009C120A">
      <w:pPr>
        <w:widowControl/>
        <w:autoSpaceDE/>
        <w:autoSpaceDN/>
        <w:spacing w:line="360" w:lineRule="auto"/>
        <w:rPr>
          <w:rFonts w:asciiTheme="minorHAnsi" w:hAnsiTheme="minorHAnsi" w:cstheme="minorHAnsi"/>
          <w:b/>
          <w:sz w:val="24"/>
          <w:szCs w:val="24"/>
        </w:rPr>
        <w:sectPr w:rsidR="009C120A">
          <w:pgSz w:w="11910" w:h="16840"/>
          <w:pgMar w:top="964" w:right="853" w:bottom="278" w:left="851" w:header="709" w:footer="709" w:gutter="0"/>
          <w:cols w:space="708"/>
        </w:sectPr>
      </w:pPr>
    </w:p>
    <w:p w14:paraId="183BE45C" w14:textId="3D3D7A20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1B2821A3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A93C63">
        <w:t>3</w:t>
      </w:r>
    </w:p>
    <w:p w14:paraId="7215230A" w14:textId="77777777" w:rsidR="00C464AB" w:rsidRPr="0012142B" w:rsidRDefault="00C464AB" w:rsidP="00C464A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10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FEE3CAE" w14:textId="77777777" w:rsidR="00C464AB" w:rsidRPr="0012142B" w:rsidRDefault="00C464AB" w:rsidP="00C464AB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wniesieniem, oraz dostarczeniem instrukcji stanowiskowej wraz z jej wdrożeniem do: </w:t>
      </w:r>
    </w:p>
    <w:p w14:paraId="53B75868" w14:textId="619AB766" w:rsidR="003109BA" w:rsidRPr="0012142B" w:rsidRDefault="00C464AB" w:rsidP="00C464A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886FEDE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C464AB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474A83A4" w14:textId="77777777" w:rsidR="009C120A" w:rsidRPr="009C120A" w:rsidRDefault="009C120A" w:rsidP="009C120A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C120A"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10A8F450" w14:textId="77777777" w:rsidR="009C120A" w:rsidRPr="009C120A" w:rsidRDefault="009C120A" w:rsidP="009C120A">
      <w:pPr>
        <w:pStyle w:val="Akapitzlist"/>
        <w:widowControl/>
        <w:numPr>
          <w:ilvl w:val="0"/>
          <w:numId w:val="8"/>
        </w:numPr>
        <w:autoSpaceDE/>
        <w:autoSpaceDN/>
        <w:spacing w:line="360" w:lineRule="auto"/>
        <w:rPr>
          <w:rFonts w:asciiTheme="minorHAnsi" w:hAnsiTheme="minorHAnsi" w:cstheme="minorHAnsi"/>
          <w:b/>
          <w:sz w:val="24"/>
          <w:szCs w:val="24"/>
        </w:rPr>
        <w:sectPr w:rsidR="009C120A" w:rsidRPr="009C120A">
          <w:pgSz w:w="11910" w:h="16840"/>
          <w:pgMar w:top="964" w:right="853" w:bottom="278" w:left="851" w:header="709" w:footer="709" w:gutter="0"/>
          <w:cols w:space="708"/>
        </w:sectPr>
      </w:pPr>
    </w:p>
    <w:p w14:paraId="7031D909" w14:textId="3768B73D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headerReference w:type="default" r:id="rId10"/>
          <w:footerReference w:type="default" r:id="rId11"/>
          <w:pgSz w:w="11910" w:h="16840"/>
          <w:pgMar w:top="1400" w:right="853" w:bottom="280" w:left="1100" w:header="708" w:footer="708" w:gutter="0"/>
          <w:cols w:space="708"/>
        </w:sectPr>
      </w:pPr>
    </w:p>
    <w:p w14:paraId="5751BE43" w14:textId="2DEC6384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5 </w:t>
      </w:r>
    </w:p>
    <w:p w14:paraId="75FD0560" w14:textId="2CB2E188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A93C63">
        <w:t>3</w:t>
      </w:r>
    </w:p>
    <w:p w14:paraId="0C2A0CBF" w14:textId="47D6DF5D" w:rsidR="00631971" w:rsidRPr="0012142B" w:rsidRDefault="00A93C63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 w:rsidR="002800D2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2800D2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6C56A3">
        <w:rPr>
          <w:rFonts w:asciiTheme="minorHAnsi" w:hAnsiTheme="minorHAnsi" w:cstheme="minorHAnsi"/>
          <w:b/>
          <w:sz w:val="28"/>
          <w:u w:val="single"/>
        </w:rPr>
        <w:t>10</w:t>
      </w:r>
      <w:r w:rsidR="002800D2"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0B493B2E" w14:textId="58A25CBC" w:rsidR="0099111A" w:rsidRPr="0012142B" w:rsidRDefault="00E04E48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oraz dostarczeniem instrukcji stanowiskowej wraz z jej wdrożeniem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60B282C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iezależnie od zapisów w karcie gwarancyjnej, obowiązują zapisy zawarte w niniejszym załączniku, chyba że poszczególne zapisy w karcie lub paszporcie są korzystniejsze dla </w:t>
      </w:r>
      <w:r w:rsidR="006524D6" w:rsidRPr="0012142B">
        <w:rPr>
          <w:rFonts w:asciiTheme="minorHAnsi" w:hAnsiTheme="minorHAnsi" w:cstheme="minorHAnsi"/>
          <w:sz w:val="24"/>
          <w:szCs w:val="24"/>
        </w:rPr>
        <w:lastRenderedPageBreak/>
        <w:t>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3B4F5B71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11D44788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A93C63">
        <w:t>3</w:t>
      </w:r>
    </w:p>
    <w:p w14:paraId="5E3F6C15" w14:textId="481E7261" w:rsidR="0099111A" w:rsidRPr="0012142B" w:rsidRDefault="00A93C63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A93C63">
        <w:rPr>
          <w:rFonts w:asciiTheme="minorHAnsi" w:hAnsiTheme="minorHAnsi" w:cstheme="minorHAnsi"/>
          <w:b/>
          <w:sz w:val="28"/>
          <w:u w:val="single"/>
        </w:rPr>
        <w:t>Zestaw do podciśnieniowej terapii ran (NPWT), zasilany bateryjnie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2800D2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 w:rsidR="006C56A3">
        <w:rPr>
          <w:rFonts w:asciiTheme="minorHAnsi" w:hAnsiTheme="minorHAnsi" w:cstheme="minorHAnsi"/>
          <w:b/>
          <w:sz w:val="28"/>
          <w:u w:val="single"/>
        </w:rPr>
        <w:t>10</w:t>
      </w:r>
      <w:r w:rsidR="002800D2" w:rsidRPr="00D31EFB">
        <w:rPr>
          <w:rFonts w:asciiTheme="minorHAnsi" w:hAnsiTheme="minorHAnsi" w:cstheme="minorHAnsi"/>
          <w:b/>
          <w:sz w:val="28"/>
          <w:u w:val="single"/>
        </w:rPr>
        <w:t xml:space="preserve"> kpl</w:t>
      </w:r>
    </w:p>
    <w:p w14:paraId="422255C5" w14:textId="28914268" w:rsidR="0099111A" w:rsidRPr="0012142B" w:rsidRDefault="00E04E48" w:rsidP="0099111A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wniesieniem, oraz dostarczeniem instrukcji stanowiskowej wraz z jej wdrożeniem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D844C" w14:textId="77777777" w:rsidR="00E97EB5" w:rsidRDefault="00E97EB5" w:rsidP="00EE7F46">
      <w:r>
        <w:separator/>
      </w:r>
    </w:p>
  </w:endnote>
  <w:endnote w:type="continuationSeparator" w:id="0">
    <w:p w14:paraId="1F1592D6" w14:textId="77777777" w:rsidR="00E97EB5" w:rsidRDefault="00E97EB5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66209" w14:textId="25CBD914" w:rsidR="0077212A" w:rsidRDefault="0077212A" w:rsidP="0077212A">
    <w:pPr>
      <w:pStyle w:val="Stopka"/>
      <w:jc w:val="center"/>
    </w:pPr>
    <w:r w:rsidRPr="00DE3E64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</w:t>
    </w:r>
    <w:r>
      <w:rPr>
        <w:i/>
        <w:sz w:val="16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B3F35" w14:textId="77777777" w:rsidR="00C464AB" w:rsidRDefault="00C464AB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FE490A6" w14:textId="77777777" w:rsidR="00C464AB" w:rsidRPr="002F114D" w:rsidRDefault="00C464AB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48AFC" w14:textId="77777777" w:rsidR="00E97EB5" w:rsidRDefault="00E97EB5" w:rsidP="00EE7F46">
      <w:r>
        <w:separator/>
      </w:r>
    </w:p>
  </w:footnote>
  <w:footnote w:type="continuationSeparator" w:id="0">
    <w:p w14:paraId="1CA63B44" w14:textId="77777777" w:rsidR="00E97EB5" w:rsidRDefault="00E97EB5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07129" w14:textId="7654E3EB" w:rsidR="0077212A" w:rsidRDefault="0077212A">
    <w:pPr>
      <w:pStyle w:val="Nagwek"/>
    </w:pPr>
    <w:r>
      <w:rPr>
        <w:noProof/>
        <w:lang w:eastAsia="pl-PL"/>
      </w:rPr>
      <w:drawing>
        <wp:inline distT="0" distB="0" distL="0" distR="0" wp14:anchorId="31B89C11" wp14:editId="12480F05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F1EE6" w14:textId="77777777" w:rsidR="00C464AB" w:rsidRDefault="00C464AB">
    <w:pPr>
      <w:pStyle w:val="Nagwek"/>
    </w:pPr>
    <w:r>
      <w:rPr>
        <w:noProof/>
        <w:lang w:eastAsia="pl-PL"/>
      </w:rPr>
      <w:drawing>
        <wp:inline distT="0" distB="0" distL="0" distR="0" wp14:anchorId="46B866B0" wp14:editId="2B484262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E14062" w14:textId="77777777" w:rsidR="00C464AB" w:rsidRDefault="00C464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5D7F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961DE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34"/>
    <w:lvlOverride w:ilvl="0">
      <w:startOverride w:val="1"/>
    </w:lvlOverride>
  </w:num>
  <w:num w:numId="4">
    <w:abstractNumId w:val="26"/>
  </w:num>
  <w:num w:numId="5">
    <w:abstractNumId w:val="34"/>
    <w:lvlOverride w:ilvl="0">
      <w:startOverride w:val="1"/>
    </w:lvlOverride>
  </w:num>
  <w:num w:numId="6">
    <w:abstractNumId w:val="23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6"/>
  </w:num>
  <w:num w:numId="15">
    <w:abstractNumId w:val="16"/>
  </w:num>
  <w:num w:numId="16">
    <w:abstractNumId w:val="13"/>
  </w:num>
  <w:num w:numId="17">
    <w:abstractNumId w:val="18"/>
  </w:num>
  <w:num w:numId="18">
    <w:abstractNumId w:val="29"/>
  </w:num>
  <w:num w:numId="19">
    <w:abstractNumId w:val="24"/>
  </w:num>
  <w:num w:numId="20">
    <w:abstractNumId w:val="20"/>
  </w:num>
  <w:num w:numId="21">
    <w:abstractNumId w:val="0"/>
  </w:num>
  <w:num w:numId="22">
    <w:abstractNumId w:val="15"/>
  </w:num>
  <w:num w:numId="23">
    <w:abstractNumId w:val="32"/>
  </w:num>
  <w:num w:numId="24">
    <w:abstractNumId w:val="25"/>
  </w:num>
  <w:num w:numId="25">
    <w:abstractNumId w:val="2"/>
  </w:num>
  <w:num w:numId="26">
    <w:abstractNumId w:val="19"/>
  </w:num>
  <w:num w:numId="27">
    <w:abstractNumId w:val="9"/>
  </w:num>
  <w:num w:numId="28">
    <w:abstractNumId w:val="31"/>
  </w:num>
  <w:num w:numId="29">
    <w:abstractNumId w:val="6"/>
  </w:num>
  <w:num w:numId="30">
    <w:abstractNumId w:val="28"/>
  </w:num>
  <w:num w:numId="31">
    <w:abstractNumId w:val="22"/>
  </w:num>
  <w:num w:numId="32">
    <w:abstractNumId w:val="17"/>
  </w:num>
  <w:num w:numId="33">
    <w:abstractNumId w:val="35"/>
  </w:num>
  <w:num w:numId="34">
    <w:abstractNumId w:val="14"/>
  </w:num>
  <w:num w:numId="35">
    <w:abstractNumId w:val="3"/>
  </w:num>
  <w:num w:numId="36">
    <w:abstractNumId w:val="8"/>
  </w:num>
  <w:num w:numId="37">
    <w:abstractNumId w:val="27"/>
  </w:num>
  <w:num w:numId="38">
    <w:abstractNumId w:val="1"/>
  </w:num>
  <w:num w:numId="39">
    <w:abstractNumId w:val="30"/>
  </w:num>
  <w:num w:numId="40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14C6"/>
    <w:rsid w:val="00063B2E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A2456"/>
    <w:rsid w:val="001B1256"/>
    <w:rsid w:val="001B4EF8"/>
    <w:rsid w:val="001C7B04"/>
    <w:rsid w:val="001D4DDD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62B7C"/>
    <w:rsid w:val="00265CE9"/>
    <w:rsid w:val="002800D2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23D9F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501F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67574"/>
    <w:rsid w:val="00582C80"/>
    <w:rsid w:val="00582D31"/>
    <w:rsid w:val="00584417"/>
    <w:rsid w:val="005852FE"/>
    <w:rsid w:val="005854BC"/>
    <w:rsid w:val="00586EBC"/>
    <w:rsid w:val="005A337B"/>
    <w:rsid w:val="005D79DD"/>
    <w:rsid w:val="005E189D"/>
    <w:rsid w:val="005F1267"/>
    <w:rsid w:val="005F58EA"/>
    <w:rsid w:val="005F76C5"/>
    <w:rsid w:val="00601B8F"/>
    <w:rsid w:val="00603BD1"/>
    <w:rsid w:val="006110C6"/>
    <w:rsid w:val="00613D8F"/>
    <w:rsid w:val="006152EB"/>
    <w:rsid w:val="00616755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56A3"/>
    <w:rsid w:val="006C6257"/>
    <w:rsid w:val="006E47CA"/>
    <w:rsid w:val="006F4559"/>
    <w:rsid w:val="00712CFE"/>
    <w:rsid w:val="007241E6"/>
    <w:rsid w:val="00724DDB"/>
    <w:rsid w:val="007278B2"/>
    <w:rsid w:val="00731ADB"/>
    <w:rsid w:val="00732D5D"/>
    <w:rsid w:val="007403F5"/>
    <w:rsid w:val="007409DD"/>
    <w:rsid w:val="00740D0D"/>
    <w:rsid w:val="00754F54"/>
    <w:rsid w:val="0077212A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120A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75C2B"/>
    <w:rsid w:val="00A816CD"/>
    <w:rsid w:val="00A86417"/>
    <w:rsid w:val="00A916E1"/>
    <w:rsid w:val="00A93C63"/>
    <w:rsid w:val="00A97FC5"/>
    <w:rsid w:val="00AA1575"/>
    <w:rsid w:val="00AB1529"/>
    <w:rsid w:val="00AB1678"/>
    <w:rsid w:val="00AB302A"/>
    <w:rsid w:val="00AD5B42"/>
    <w:rsid w:val="00AE0966"/>
    <w:rsid w:val="00AE722E"/>
    <w:rsid w:val="00AE755A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5928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A2DB9"/>
    <w:rsid w:val="00BB16DB"/>
    <w:rsid w:val="00BB3155"/>
    <w:rsid w:val="00BB6E6D"/>
    <w:rsid w:val="00BC42C0"/>
    <w:rsid w:val="00BC4EC7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AB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BA6"/>
    <w:rsid w:val="00D37E92"/>
    <w:rsid w:val="00D430A2"/>
    <w:rsid w:val="00D470E1"/>
    <w:rsid w:val="00D5356C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4E48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0CBA"/>
    <w:rsid w:val="00E91124"/>
    <w:rsid w:val="00E91A1B"/>
    <w:rsid w:val="00E97EB5"/>
    <w:rsid w:val="00EA1113"/>
    <w:rsid w:val="00EB3375"/>
    <w:rsid w:val="00EB7425"/>
    <w:rsid w:val="00EC2C0C"/>
    <w:rsid w:val="00EC2C3B"/>
    <w:rsid w:val="00EC5A0E"/>
    <w:rsid w:val="00ED21D6"/>
    <w:rsid w:val="00ED28FB"/>
    <w:rsid w:val="00EE2C0C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C464AB"/>
    <w:rPr>
      <w:lang w:val="pl-PL"/>
    </w:rPr>
  </w:style>
  <w:style w:type="character" w:styleId="Uwydatnienie">
    <w:name w:val="Emphasis"/>
    <w:uiPriority w:val="20"/>
    <w:qFormat/>
    <w:rsid w:val="00C464AB"/>
    <w:rPr>
      <w:i/>
      <w:iCs/>
    </w:rPr>
  </w:style>
  <w:style w:type="paragraph" w:customStyle="1" w:styleId="xxmsonormal">
    <w:name w:val="x_x_msonormal"/>
    <w:basedOn w:val="Normalny"/>
    <w:rsid w:val="00C464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4B21-A945-4456-9676-655AD44F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3663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5</cp:revision>
  <cp:lastPrinted>2025-09-19T09:25:00Z</cp:lastPrinted>
  <dcterms:created xsi:type="dcterms:W3CDTF">2026-02-13T15:01:00Z</dcterms:created>
  <dcterms:modified xsi:type="dcterms:W3CDTF">2026-02-25T12:42:00Z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