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BC357" w14:textId="77777777" w:rsidR="00C00B08" w:rsidRPr="0012142B" w:rsidRDefault="00C00B08" w:rsidP="00C00B08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3281A04C" w14:textId="0C0FD191" w:rsidR="00C00B08" w:rsidRPr="003E2F49" w:rsidRDefault="00C00B08" w:rsidP="00C00B08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8</w:t>
      </w:r>
    </w:p>
    <w:p w14:paraId="3A4B030E" w14:textId="77777777" w:rsidR="00C00B08" w:rsidRPr="0012142B" w:rsidRDefault="00C00B08" w:rsidP="00C00B0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Detektor tętna płodu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6AC105A7" w14:textId="77777777" w:rsidR="00C00B08" w:rsidRPr="00FE75F8" w:rsidRDefault="00C00B08" w:rsidP="00C00B08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  <w:color w:val="FF0000"/>
        </w:rPr>
      </w:pPr>
      <w:r w:rsidRPr="34FF5B45">
        <w:rPr>
          <w:rFonts w:asciiTheme="minorHAnsi" w:hAnsiTheme="minorHAnsi" w:cstheme="minorBidi"/>
        </w:rPr>
        <w:t>Dostawa wraz z rozładunkiem, wniesieniem</w:t>
      </w:r>
      <w:r>
        <w:rPr>
          <w:rFonts w:asciiTheme="minorHAnsi" w:hAnsiTheme="minorHAnsi" w:cstheme="minorBidi"/>
        </w:rPr>
        <w:t>, uruchomieniem</w:t>
      </w:r>
      <w:r w:rsidRPr="34FF5B45">
        <w:rPr>
          <w:rFonts w:asciiTheme="minorHAnsi" w:hAnsiTheme="minorHAnsi" w:cstheme="minorBidi"/>
        </w:rPr>
        <w:t xml:space="preserve"> oraz dostarczeniem instrukcji stanowiskowej:</w:t>
      </w:r>
    </w:p>
    <w:p w14:paraId="34BE115C" w14:textId="0A02C225" w:rsidR="00C00B08" w:rsidRPr="00CC2818" w:rsidRDefault="00C00B08" w:rsidP="00C00B08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7AACC46B" w14:textId="77777777" w:rsidR="00C00B08" w:rsidRPr="00CC2818" w:rsidRDefault="00C00B08" w:rsidP="00C00B08">
      <w:pPr>
        <w:ind w:right="141"/>
        <w:rPr>
          <w:rFonts w:ascii="Calibri" w:hAnsi="Calibri" w:cs="Calibri"/>
          <w:b/>
        </w:rPr>
      </w:pPr>
    </w:p>
    <w:p w14:paraId="50F84072" w14:textId="77777777" w:rsidR="00C00B08" w:rsidRPr="003E2F49" w:rsidRDefault="00C00B08" w:rsidP="00C00B0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ECD2DC1" w14:textId="77777777" w:rsidR="00C00B08" w:rsidRPr="003E2F49" w:rsidRDefault="00C00B08" w:rsidP="00C00B0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06124E0" w14:textId="77777777" w:rsidR="00C00B08" w:rsidRPr="003E2F49" w:rsidRDefault="00C00B08" w:rsidP="00C00B0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9D05E19" w14:textId="77777777" w:rsidR="00C00B08" w:rsidRPr="003E2F49" w:rsidRDefault="00C00B08" w:rsidP="00C00B0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39B6ABD1" w14:textId="77777777" w:rsidR="00C00B08" w:rsidRPr="003E2F49" w:rsidRDefault="00C00B08" w:rsidP="00C00B0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FEA44C6" w14:textId="77777777" w:rsidR="00C00B08" w:rsidRPr="003E2F49" w:rsidRDefault="00C00B08" w:rsidP="00C00B0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495D1D39" w14:textId="77777777" w:rsidR="00C00B08" w:rsidRPr="003E2F49" w:rsidRDefault="00C00B08" w:rsidP="00C00B0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1436DD84" w14:textId="77777777" w:rsidR="00C00B08" w:rsidRDefault="00C00B08" w:rsidP="00C00B0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17DCC136" w14:textId="77777777" w:rsidR="00C00B08" w:rsidRPr="003E2F49" w:rsidRDefault="00C00B08" w:rsidP="00C00B0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0AECE733" w14:textId="77777777" w:rsidR="00C00B08" w:rsidRPr="003E2F49" w:rsidRDefault="00C00B08" w:rsidP="00C00B0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3D6E33F1" w14:textId="77777777" w:rsidR="00C00B08" w:rsidRPr="003E2F49" w:rsidRDefault="00C00B08" w:rsidP="00C00B08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47CB8908" w14:textId="77777777" w:rsidR="00C00B08" w:rsidRPr="003E2F49" w:rsidRDefault="00C00B08" w:rsidP="00C00B08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6654C1A2" w14:textId="77777777" w:rsidR="00C00B08" w:rsidRDefault="00C00B08" w:rsidP="00C00B08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5C9559DD" w14:textId="77777777" w:rsidR="00C00B08" w:rsidRDefault="00C00B08" w:rsidP="00C00B08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8A55058" w14:textId="77777777" w:rsidR="00C00B08" w:rsidRPr="0012142B" w:rsidRDefault="00C00B08" w:rsidP="00C00B08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C00B08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4A0CB9AC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02BBC91D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5A77E1">
        <w:t>8</w:t>
      </w:r>
    </w:p>
    <w:p w14:paraId="15F57589" w14:textId="3125F3AC" w:rsidR="00E8669D" w:rsidRPr="0012142B" w:rsidRDefault="005A77E1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Detektor tętna płodu</w:t>
      </w:r>
      <w:r w:rsidR="002D529D"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="002D529D"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66219157" w:rsidR="00E44E82" w:rsidRPr="00FE75F8" w:rsidRDefault="00F04478" w:rsidP="00C00B08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  <w:color w:val="FF0000"/>
        </w:rPr>
      </w:pPr>
      <w:r w:rsidRPr="34FF5B45">
        <w:rPr>
          <w:rFonts w:asciiTheme="minorHAnsi" w:hAnsiTheme="minorHAnsi" w:cstheme="minorBidi"/>
        </w:rPr>
        <w:t>Dostawa wraz z rozładunkiem, wniesieniem</w:t>
      </w:r>
      <w:r>
        <w:rPr>
          <w:rFonts w:asciiTheme="minorHAnsi" w:hAnsiTheme="minorHAnsi" w:cstheme="minorBidi"/>
        </w:rPr>
        <w:t>, uruchomieniem</w:t>
      </w:r>
      <w:r w:rsidRPr="34FF5B45">
        <w:rPr>
          <w:rFonts w:asciiTheme="minorHAnsi" w:hAnsiTheme="minorHAnsi" w:cstheme="minorBidi"/>
        </w:rPr>
        <w:t xml:space="preserve"> oraz dostarczeniem instrukcji stanowiskowej:</w:t>
      </w:r>
    </w:p>
    <w:p w14:paraId="436BF565" w14:textId="42AD4BBF" w:rsidR="006B526C" w:rsidRPr="0012142B" w:rsidRDefault="005E189D" w:rsidP="00C00B08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Centrum </w:t>
      </w:r>
      <w:r w:rsidR="00D31EFB">
        <w:rPr>
          <w:rFonts w:ascii="Calibri" w:hAnsi="Calibri" w:cs="Calibri"/>
          <w:b/>
        </w:rPr>
        <w:t>Dydaktyczno-Egzaminacyjnego</w:t>
      </w:r>
      <w:r w:rsidR="00EC2C3B" w:rsidRPr="0012142B">
        <w:rPr>
          <w:rFonts w:ascii="Calibri" w:hAnsi="Calibri" w:cs="Calibri"/>
          <w:b/>
        </w:rPr>
        <w:t xml:space="preserve">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4E4B63EB" w14:textId="3693B411" w:rsidR="00B30D33" w:rsidRPr="00B30D33" w:rsidRDefault="00B30D33" w:rsidP="00B30D3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30D33">
        <w:rPr>
          <w:rFonts w:asciiTheme="minorHAnsi" w:hAnsiTheme="minorHAnsi" w:cstheme="minorHAnsi"/>
          <w:sz w:val="24"/>
          <w:szCs w:val="24"/>
        </w:rPr>
        <w:t>Urządzenie przenośne, ręczny detektor tętna płodu, przeznaczony do użytku medycznego.</w:t>
      </w:r>
    </w:p>
    <w:p w14:paraId="3D44FD6C" w14:textId="5B6FB9C1" w:rsidR="00B30D33" w:rsidRPr="00B30D33" w:rsidRDefault="00B30D33" w:rsidP="00B30D3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30D33">
        <w:rPr>
          <w:rFonts w:asciiTheme="minorHAnsi" w:hAnsiTheme="minorHAnsi" w:cstheme="minorHAnsi"/>
          <w:sz w:val="24"/>
          <w:szCs w:val="24"/>
        </w:rPr>
        <w:t>Zakres pomiaru tętna płodu: nie węższy niż 50 – 240 uderzeń/min.</w:t>
      </w:r>
    </w:p>
    <w:p w14:paraId="1ABAE3EA" w14:textId="68360930" w:rsidR="00B30D33" w:rsidRPr="00B30D33" w:rsidRDefault="00B30D33" w:rsidP="00B30D3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30D33">
        <w:rPr>
          <w:rFonts w:asciiTheme="minorHAnsi" w:hAnsiTheme="minorHAnsi" w:cstheme="minorHAnsi"/>
          <w:sz w:val="24"/>
          <w:szCs w:val="24"/>
        </w:rPr>
        <w:t>Dokładność pomiaru: nie gorsza niż ±2 BPM.</w:t>
      </w:r>
    </w:p>
    <w:p w14:paraId="0EC64D05" w14:textId="7C0B5BBD" w:rsidR="00B30D33" w:rsidRPr="00B30D33" w:rsidRDefault="00B30D33" w:rsidP="00B30D3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30D33">
        <w:rPr>
          <w:rFonts w:asciiTheme="minorHAnsi" w:hAnsiTheme="minorHAnsi" w:cstheme="minorHAnsi"/>
          <w:sz w:val="24"/>
          <w:szCs w:val="24"/>
        </w:rPr>
        <w:t>Rozdzielczość wskazania: nie gorsza niż 1 BPM.</w:t>
      </w:r>
    </w:p>
    <w:p w14:paraId="68857774" w14:textId="5ACB51AD" w:rsidR="00B30D33" w:rsidRPr="00B30D33" w:rsidRDefault="00B30D33" w:rsidP="00B30D3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30D33">
        <w:rPr>
          <w:rFonts w:asciiTheme="minorHAnsi" w:hAnsiTheme="minorHAnsi" w:cstheme="minorHAnsi"/>
          <w:sz w:val="24"/>
          <w:szCs w:val="24"/>
        </w:rPr>
        <w:t>Wyświetlacz umożliwiający odczyt wartości FHR w czasie rzeczywistym.</w:t>
      </w:r>
    </w:p>
    <w:p w14:paraId="634497A6" w14:textId="450948F7" w:rsidR="00B30D33" w:rsidRPr="00B30D33" w:rsidRDefault="00B30D33" w:rsidP="00B30D3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30D33">
        <w:rPr>
          <w:rFonts w:asciiTheme="minorHAnsi" w:hAnsiTheme="minorHAnsi" w:cstheme="minorHAnsi"/>
          <w:sz w:val="24"/>
          <w:szCs w:val="24"/>
        </w:rPr>
        <w:t>Sonda ultradźwiękowa o częstotliwości nominalnej nie gorszej niż 2,0 MHz ±10% (dopuszcza się sondy o częstotliwości nie gorszej niż 3,0 MHz).</w:t>
      </w:r>
    </w:p>
    <w:p w14:paraId="597A9478" w14:textId="104113E2" w:rsidR="00B30D33" w:rsidRPr="00B30D33" w:rsidRDefault="00B30D33" w:rsidP="00B30D3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30D33">
        <w:rPr>
          <w:rFonts w:asciiTheme="minorHAnsi" w:hAnsiTheme="minorHAnsi" w:cstheme="minorHAnsi"/>
          <w:sz w:val="24"/>
          <w:szCs w:val="24"/>
        </w:rPr>
        <w:t>Tryb pracy: ciągły Doppler ultradźwiękowy lub równoważny, zapewniający nie gorszą skuteczność detekcji.</w:t>
      </w:r>
    </w:p>
    <w:p w14:paraId="4E9E9F47" w14:textId="2BA48B03" w:rsidR="00B30D33" w:rsidRPr="00B30D33" w:rsidRDefault="00B30D33" w:rsidP="00B30D3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30D33">
        <w:rPr>
          <w:rFonts w:asciiTheme="minorHAnsi" w:hAnsiTheme="minorHAnsi" w:cstheme="minorHAnsi"/>
          <w:sz w:val="24"/>
          <w:szCs w:val="24"/>
        </w:rPr>
        <w:t xml:space="preserve">Maksymalna moc wyjściowa ultradźwięków: nie większa niż 20 </w:t>
      </w:r>
      <w:proofErr w:type="spellStart"/>
      <w:r w:rsidRPr="00B30D33">
        <w:rPr>
          <w:rFonts w:asciiTheme="minorHAnsi" w:hAnsiTheme="minorHAnsi" w:cstheme="minorHAnsi"/>
          <w:sz w:val="24"/>
          <w:szCs w:val="24"/>
        </w:rPr>
        <w:t>mW</w:t>
      </w:r>
      <w:proofErr w:type="spellEnd"/>
      <w:r w:rsidRPr="00B30D33">
        <w:rPr>
          <w:rFonts w:asciiTheme="minorHAnsi" w:hAnsiTheme="minorHAnsi" w:cstheme="minorHAnsi"/>
          <w:sz w:val="24"/>
          <w:szCs w:val="24"/>
        </w:rPr>
        <w:t>.</w:t>
      </w:r>
    </w:p>
    <w:p w14:paraId="36513EE9" w14:textId="6275B79F" w:rsidR="00B30D33" w:rsidRPr="00B30D33" w:rsidRDefault="00B30D33" w:rsidP="00B30D3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30D33">
        <w:rPr>
          <w:rFonts w:asciiTheme="minorHAnsi" w:hAnsiTheme="minorHAnsi" w:cstheme="minorHAnsi"/>
          <w:sz w:val="24"/>
          <w:szCs w:val="24"/>
        </w:rPr>
        <w:t>Parametry akustyczne nie gorsze niż:</w:t>
      </w:r>
    </w:p>
    <w:p w14:paraId="65E73B7F" w14:textId="77777777" w:rsidR="00B30D33" w:rsidRPr="00B30D33" w:rsidRDefault="00B30D33" w:rsidP="00B123C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B30D33">
        <w:rPr>
          <w:rFonts w:asciiTheme="minorHAnsi" w:hAnsiTheme="minorHAnsi" w:cstheme="minorHAnsi"/>
          <w:sz w:val="24"/>
          <w:szCs w:val="24"/>
        </w:rPr>
        <w:t>Intensywność wiązki ultradźwiękowej (</w:t>
      </w:r>
      <w:proofErr w:type="spellStart"/>
      <w:r w:rsidRPr="00B30D33">
        <w:rPr>
          <w:rFonts w:asciiTheme="minorHAnsi" w:hAnsiTheme="minorHAnsi" w:cstheme="minorHAnsi"/>
          <w:sz w:val="24"/>
          <w:szCs w:val="24"/>
        </w:rPr>
        <w:t>Iob</w:t>
      </w:r>
      <w:proofErr w:type="spellEnd"/>
      <w:r w:rsidRPr="00B30D33">
        <w:rPr>
          <w:rFonts w:asciiTheme="minorHAnsi" w:hAnsiTheme="minorHAnsi" w:cstheme="minorHAnsi"/>
          <w:sz w:val="24"/>
          <w:szCs w:val="24"/>
        </w:rPr>
        <w:t xml:space="preserve">) &lt; 20 </w:t>
      </w:r>
      <w:proofErr w:type="spellStart"/>
      <w:r w:rsidRPr="00B30D33">
        <w:rPr>
          <w:rFonts w:asciiTheme="minorHAnsi" w:hAnsiTheme="minorHAnsi" w:cstheme="minorHAnsi"/>
          <w:sz w:val="24"/>
          <w:szCs w:val="24"/>
        </w:rPr>
        <w:t>mW</w:t>
      </w:r>
      <w:proofErr w:type="spellEnd"/>
      <w:r w:rsidRPr="00B30D33">
        <w:rPr>
          <w:rFonts w:asciiTheme="minorHAnsi" w:hAnsiTheme="minorHAnsi" w:cstheme="minorHAnsi"/>
          <w:sz w:val="24"/>
          <w:szCs w:val="24"/>
        </w:rPr>
        <w:t>/cm²,</w:t>
      </w:r>
    </w:p>
    <w:p w14:paraId="72E26295" w14:textId="77777777" w:rsidR="00B30D33" w:rsidRPr="00B30D33" w:rsidRDefault="00B30D33" w:rsidP="00B123C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B30D33">
        <w:rPr>
          <w:rFonts w:asciiTheme="minorHAnsi" w:hAnsiTheme="minorHAnsi" w:cstheme="minorHAnsi"/>
          <w:sz w:val="24"/>
          <w:szCs w:val="24"/>
        </w:rPr>
        <w:t>Intensywność czasowo-przestrzenna (</w:t>
      </w:r>
      <w:proofErr w:type="spellStart"/>
      <w:r w:rsidRPr="00B30D33">
        <w:rPr>
          <w:rFonts w:asciiTheme="minorHAnsi" w:hAnsiTheme="minorHAnsi" w:cstheme="minorHAnsi"/>
          <w:sz w:val="24"/>
          <w:szCs w:val="24"/>
        </w:rPr>
        <w:t>Ispta</w:t>
      </w:r>
      <w:proofErr w:type="spellEnd"/>
      <w:r w:rsidRPr="00B30D33">
        <w:rPr>
          <w:rFonts w:asciiTheme="minorHAnsi" w:hAnsiTheme="minorHAnsi" w:cstheme="minorHAnsi"/>
          <w:sz w:val="24"/>
          <w:szCs w:val="24"/>
        </w:rPr>
        <w:t xml:space="preserve">) &lt; 100 </w:t>
      </w:r>
      <w:proofErr w:type="spellStart"/>
      <w:r w:rsidRPr="00B30D33">
        <w:rPr>
          <w:rFonts w:asciiTheme="minorHAnsi" w:hAnsiTheme="minorHAnsi" w:cstheme="minorHAnsi"/>
          <w:sz w:val="24"/>
          <w:szCs w:val="24"/>
        </w:rPr>
        <w:t>mW</w:t>
      </w:r>
      <w:proofErr w:type="spellEnd"/>
      <w:r w:rsidRPr="00B30D33">
        <w:rPr>
          <w:rFonts w:asciiTheme="minorHAnsi" w:hAnsiTheme="minorHAnsi" w:cstheme="minorHAnsi"/>
          <w:sz w:val="24"/>
          <w:szCs w:val="24"/>
        </w:rPr>
        <w:t>/cm²,</w:t>
      </w:r>
    </w:p>
    <w:p w14:paraId="71ECDA19" w14:textId="77777777" w:rsidR="00B30D33" w:rsidRPr="00B30D33" w:rsidRDefault="00B30D33" w:rsidP="00B123C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B30D33">
        <w:rPr>
          <w:rFonts w:asciiTheme="minorHAnsi" w:hAnsiTheme="minorHAnsi" w:cstheme="minorHAnsi"/>
          <w:sz w:val="24"/>
          <w:szCs w:val="24"/>
        </w:rPr>
        <w:t xml:space="preserve">Szczytowe ciśnienie akustyczne &lt; 1 </w:t>
      </w:r>
      <w:proofErr w:type="spellStart"/>
      <w:r w:rsidRPr="00B30D33">
        <w:rPr>
          <w:rFonts w:asciiTheme="minorHAnsi" w:hAnsiTheme="minorHAnsi" w:cstheme="minorHAnsi"/>
          <w:sz w:val="24"/>
          <w:szCs w:val="24"/>
        </w:rPr>
        <w:t>MPa</w:t>
      </w:r>
      <w:proofErr w:type="spellEnd"/>
      <w:r w:rsidRPr="00B30D33">
        <w:rPr>
          <w:rFonts w:asciiTheme="minorHAnsi" w:hAnsiTheme="minorHAnsi" w:cstheme="minorHAnsi"/>
          <w:sz w:val="24"/>
          <w:szCs w:val="24"/>
        </w:rPr>
        <w:t>.</w:t>
      </w:r>
    </w:p>
    <w:p w14:paraId="2677E78C" w14:textId="59123E2E" w:rsidR="00B30D33" w:rsidRPr="00B30D33" w:rsidRDefault="00B30D33" w:rsidP="00B123C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30D33">
        <w:rPr>
          <w:rFonts w:asciiTheme="minorHAnsi" w:hAnsiTheme="minorHAnsi" w:cstheme="minorHAnsi"/>
          <w:sz w:val="24"/>
          <w:szCs w:val="24"/>
        </w:rPr>
        <w:t xml:space="preserve">Czułość detekcji: nie gorsza niż 90 </w:t>
      </w:r>
      <w:proofErr w:type="spellStart"/>
      <w:r w:rsidRPr="00B30D33">
        <w:rPr>
          <w:rFonts w:asciiTheme="minorHAnsi" w:hAnsiTheme="minorHAnsi" w:cstheme="minorHAnsi"/>
          <w:sz w:val="24"/>
          <w:szCs w:val="24"/>
        </w:rPr>
        <w:t>dB</w:t>
      </w:r>
      <w:proofErr w:type="spellEnd"/>
      <w:r w:rsidRPr="00B30D33">
        <w:rPr>
          <w:rFonts w:asciiTheme="minorHAnsi" w:hAnsiTheme="minorHAnsi" w:cstheme="minorHAnsi"/>
          <w:sz w:val="24"/>
          <w:szCs w:val="24"/>
        </w:rPr>
        <w:t>.</w:t>
      </w:r>
    </w:p>
    <w:p w14:paraId="60FAA014" w14:textId="2BE8485F" w:rsidR="00B30D33" w:rsidRPr="00B30D33" w:rsidRDefault="00B30D33" w:rsidP="00B30D3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30D33">
        <w:rPr>
          <w:rFonts w:asciiTheme="minorHAnsi" w:hAnsiTheme="minorHAnsi" w:cstheme="minorHAnsi"/>
          <w:sz w:val="24"/>
          <w:szCs w:val="24"/>
        </w:rPr>
        <w:t>Wbudowany głośnik z regulacją głośności.</w:t>
      </w:r>
    </w:p>
    <w:p w14:paraId="09DBFE47" w14:textId="092D404D" w:rsidR="00B30D33" w:rsidRPr="00B30D33" w:rsidRDefault="00B30D33" w:rsidP="00B30D3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30D33">
        <w:rPr>
          <w:rFonts w:asciiTheme="minorHAnsi" w:hAnsiTheme="minorHAnsi" w:cstheme="minorHAnsi"/>
          <w:sz w:val="24"/>
          <w:szCs w:val="24"/>
        </w:rPr>
        <w:t>Wyjście audio (np. słuchawkowe) umożliwiające odsłuch lub nagrywanie.</w:t>
      </w:r>
    </w:p>
    <w:p w14:paraId="15939C88" w14:textId="57B611E7" w:rsidR="00B30D33" w:rsidRPr="00B30D33" w:rsidRDefault="00B30D33" w:rsidP="00B30D3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30D33">
        <w:rPr>
          <w:rFonts w:asciiTheme="minorHAnsi" w:hAnsiTheme="minorHAnsi" w:cstheme="minorHAnsi"/>
          <w:sz w:val="24"/>
          <w:szCs w:val="24"/>
        </w:rPr>
        <w:t xml:space="preserve">Zasilanie: </w:t>
      </w:r>
      <w:r>
        <w:rPr>
          <w:rFonts w:asciiTheme="minorHAnsi" w:hAnsiTheme="minorHAnsi" w:cstheme="minorHAnsi"/>
          <w:sz w:val="24"/>
          <w:szCs w:val="24"/>
        </w:rPr>
        <w:t>bateryjne</w:t>
      </w:r>
      <w:r w:rsidRPr="00B30D33">
        <w:rPr>
          <w:rFonts w:asciiTheme="minorHAnsi" w:hAnsiTheme="minorHAnsi" w:cstheme="minorHAnsi"/>
          <w:sz w:val="24"/>
          <w:szCs w:val="24"/>
        </w:rPr>
        <w:t xml:space="preserve"> lub równoważne rozwiązanie akumulatorowe</w:t>
      </w:r>
      <w:r w:rsidR="00B123CE">
        <w:rPr>
          <w:rFonts w:asciiTheme="minorHAnsi" w:hAnsiTheme="minorHAnsi" w:cstheme="minorHAnsi"/>
          <w:sz w:val="24"/>
          <w:szCs w:val="24"/>
        </w:rPr>
        <w:t xml:space="preserve"> z ładowarką sieciową</w:t>
      </w:r>
      <w:r w:rsidRPr="00B30D33">
        <w:rPr>
          <w:rFonts w:asciiTheme="minorHAnsi" w:hAnsiTheme="minorHAnsi" w:cstheme="minorHAnsi"/>
          <w:sz w:val="24"/>
          <w:szCs w:val="24"/>
        </w:rPr>
        <w:t>.</w:t>
      </w:r>
    </w:p>
    <w:p w14:paraId="37DB6F8C" w14:textId="59505B1B" w:rsidR="00B30D33" w:rsidRDefault="00B30D33" w:rsidP="00B30D3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30D33">
        <w:rPr>
          <w:rFonts w:asciiTheme="minorHAnsi" w:hAnsiTheme="minorHAnsi" w:cstheme="minorHAnsi"/>
          <w:sz w:val="24"/>
          <w:szCs w:val="24"/>
        </w:rPr>
        <w:t xml:space="preserve">Masa urządzenia (z bateriami): nie większa niż </w:t>
      </w:r>
      <w:r w:rsidR="00B123CE">
        <w:rPr>
          <w:rFonts w:asciiTheme="minorHAnsi" w:hAnsiTheme="minorHAnsi" w:cstheme="minorHAnsi"/>
          <w:sz w:val="24"/>
          <w:szCs w:val="24"/>
        </w:rPr>
        <w:t>300</w:t>
      </w:r>
      <w:r w:rsidRPr="00B30D33">
        <w:rPr>
          <w:rFonts w:asciiTheme="minorHAnsi" w:hAnsiTheme="minorHAnsi" w:cstheme="minorHAnsi"/>
          <w:sz w:val="24"/>
          <w:szCs w:val="24"/>
        </w:rPr>
        <w:t xml:space="preserve"> g.</w:t>
      </w:r>
    </w:p>
    <w:p w14:paraId="5C35AEAD" w14:textId="77777777" w:rsidR="00E55DF8" w:rsidRDefault="00E55DF8" w:rsidP="00E55DF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Urządzenie musi być fabrycznie nowe, nieużywane, </w:t>
      </w:r>
      <w:proofErr w:type="spellStart"/>
      <w:r>
        <w:rPr>
          <w:rFonts w:asciiTheme="minorHAnsi" w:hAnsiTheme="minorHAnsi" w:cstheme="minorHAnsi"/>
          <w:sz w:val="24"/>
          <w:szCs w:val="24"/>
        </w:rPr>
        <w:t>nierekondycjonowane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4C943F8D" w14:textId="77777777" w:rsidR="00E55DF8" w:rsidRPr="00B30D33" w:rsidRDefault="00E55DF8" w:rsidP="00E55DF8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lastRenderedPageBreak/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2B87D000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C00B08">
        <w:rPr>
          <w:rFonts w:asciiTheme="minorHAnsi" w:hAnsiTheme="minorHAnsi" w:cstheme="minorHAnsi"/>
          <w:sz w:val="24"/>
          <w:szCs w:val="24"/>
        </w:rPr>
        <w:t>niniejszego 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B123CE">
      <w:pPr>
        <w:pStyle w:val="Akapitzlist"/>
        <w:numPr>
          <w:ilvl w:val="0"/>
          <w:numId w:val="2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B123CE">
      <w:pPr>
        <w:pStyle w:val="Akapitzlist"/>
        <w:numPr>
          <w:ilvl w:val="0"/>
          <w:numId w:val="2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B123CE">
      <w:pPr>
        <w:pStyle w:val="Akapitzlist"/>
        <w:numPr>
          <w:ilvl w:val="0"/>
          <w:numId w:val="2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206847C2" w14:textId="77777777" w:rsidR="00C00B08" w:rsidRPr="00BE6C76" w:rsidRDefault="00C00B08" w:rsidP="00C00B08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5B959B5E" w14:textId="5284E2E1" w:rsidR="00C00B08" w:rsidRDefault="00C00B08" w:rsidP="00C00B08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8</w:t>
      </w:r>
    </w:p>
    <w:p w14:paraId="6A7B4413" w14:textId="77777777" w:rsidR="00C00B08" w:rsidRPr="0012142B" w:rsidRDefault="00C00B08" w:rsidP="00C00B0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Detektor tętna płodu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15EF865D" w14:textId="77777777" w:rsidR="00C00B08" w:rsidRPr="00FE75F8" w:rsidRDefault="00C00B08" w:rsidP="00C00B08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  <w:color w:val="FF0000"/>
        </w:rPr>
      </w:pPr>
      <w:r w:rsidRPr="34FF5B45">
        <w:rPr>
          <w:rFonts w:asciiTheme="minorHAnsi" w:hAnsiTheme="minorHAnsi" w:cstheme="minorBidi"/>
        </w:rPr>
        <w:t>Dostawa wraz z rozładunkiem, wniesieniem</w:t>
      </w:r>
      <w:r>
        <w:rPr>
          <w:rFonts w:asciiTheme="minorHAnsi" w:hAnsiTheme="minorHAnsi" w:cstheme="minorBidi"/>
        </w:rPr>
        <w:t>, uruchomieniem</w:t>
      </w:r>
      <w:r w:rsidRPr="34FF5B45">
        <w:rPr>
          <w:rFonts w:asciiTheme="minorHAnsi" w:hAnsiTheme="minorHAnsi" w:cstheme="minorBidi"/>
        </w:rPr>
        <w:t xml:space="preserve"> oraz dostarczeniem instrukcji stanowiskowej:</w:t>
      </w:r>
    </w:p>
    <w:p w14:paraId="2CE33C8D" w14:textId="2102621F" w:rsidR="00C00B08" w:rsidRDefault="00C00B08" w:rsidP="00C00B08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96C245" w14:textId="77777777" w:rsidR="00C00B08" w:rsidRPr="00BE6C76" w:rsidRDefault="00C00B08" w:rsidP="00C00B08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C00B08" w:rsidRPr="00BE6C76" w14:paraId="57BF91EF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A78AC3" w14:textId="77777777" w:rsidR="00C00B08" w:rsidRPr="00BE6C76" w:rsidRDefault="00C00B08" w:rsidP="008156F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832F70" w14:textId="77777777" w:rsidR="00C00B08" w:rsidRPr="00BE6C76" w:rsidRDefault="00C00B08" w:rsidP="008156F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00B08" w:rsidRPr="00BE6C76" w14:paraId="1D0549F8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4E6B24" w14:textId="77777777" w:rsidR="00C00B08" w:rsidRPr="00BE6C76" w:rsidRDefault="00C00B08" w:rsidP="008156F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7144CE" w14:textId="77777777" w:rsidR="00C00B08" w:rsidRPr="00BE6C76" w:rsidRDefault="00C00B08" w:rsidP="008156F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26696F13" w14:textId="77777777" w:rsidR="00C00B08" w:rsidRPr="00BE6C76" w:rsidRDefault="00C00B08" w:rsidP="00C00B08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35D6F662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2B6D636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B448979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F5A8EBE" w14:textId="77777777" w:rsidR="00C00B08" w:rsidRPr="00BE6C76" w:rsidRDefault="00C00B08" w:rsidP="00C00B08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3022FA2C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8E43A15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6951822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0CBCEC1" w14:textId="77777777" w:rsidR="00C00B08" w:rsidRPr="00BE6C76" w:rsidRDefault="00C00B08" w:rsidP="00C00B08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35C7AC70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82F14DC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1402366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49AD3FA" w14:textId="77777777" w:rsidR="00C00B08" w:rsidRPr="00BE6C76" w:rsidRDefault="00C00B08" w:rsidP="00C00B08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62C2E214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968054F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6A0A50E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BE8DF80" w14:textId="77777777" w:rsidR="00C00B08" w:rsidRPr="00BE6C76" w:rsidRDefault="00C00B08" w:rsidP="00C00B08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5FD33466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48E137B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98E3B24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07F854F" w14:textId="77777777" w:rsidR="00C00B08" w:rsidRPr="00BE6C76" w:rsidRDefault="00C00B08" w:rsidP="00C00B08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3729E823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DBB68A5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9AA76C0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B9AAAC6" w14:textId="77777777" w:rsidR="00C00B08" w:rsidRPr="00BE6C76" w:rsidRDefault="00C00B08" w:rsidP="00C00B08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17962DB2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763CF3E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B126599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BD083F6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296344FE" w14:textId="77777777" w:rsidR="00C00B08" w:rsidRPr="00BE6C76" w:rsidRDefault="00C00B08" w:rsidP="00C00B08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605A88D5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C4034F0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63BA1B3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8B70096" w14:textId="77777777" w:rsidR="00C00B08" w:rsidRPr="00BE6C76" w:rsidRDefault="00C00B08" w:rsidP="00C00B08">
            <w:pPr>
              <w:widowControl/>
              <w:numPr>
                <w:ilvl w:val="0"/>
                <w:numId w:val="2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6F9E2294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0A1686D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B2FDD5C" w14:textId="77777777" w:rsidR="00C00B08" w:rsidRPr="00BE6C76" w:rsidRDefault="00C00B08" w:rsidP="008156F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64C025E" w14:textId="77777777" w:rsidR="00C00B08" w:rsidRPr="00BE6C76" w:rsidRDefault="00C00B08" w:rsidP="008156FA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4D039203" w14:textId="77777777" w:rsidR="00C00B08" w:rsidRPr="00BE6C76" w:rsidRDefault="00C00B08" w:rsidP="008156FA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00B08" w:rsidRPr="00BE6C76" w14:paraId="26C9AB2C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F37081" w14:textId="77777777" w:rsidR="00C00B08" w:rsidRPr="00BE6C76" w:rsidRDefault="00C00B08" w:rsidP="008156F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2FF4A9" w14:textId="77777777" w:rsidR="00C00B08" w:rsidRPr="00BE6C76" w:rsidRDefault="00C00B08" w:rsidP="008156F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00B08" w:rsidRPr="00BE6C76" w14:paraId="7C9A0AC3" w14:textId="77777777" w:rsidTr="008156F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87E2B" w14:textId="77777777" w:rsidR="00C00B08" w:rsidRPr="00BE6C76" w:rsidRDefault="00C00B08" w:rsidP="008156FA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D0087" w14:textId="77777777" w:rsidR="00C00B08" w:rsidRPr="00BE6C76" w:rsidRDefault="00C00B08" w:rsidP="008156FA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00B08" w:rsidRPr="00BE6C76" w14:paraId="6604B472" w14:textId="77777777" w:rsidTr="008156FA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9BE53C" w14:textId="77777777" w:rsidR="00C00B08" w:rsidRPr="00BE6C76" w:rsidRDefault="00C00B08" w:rsidP="008156F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43B5F528" w14:textId="77777777" w:rsidR="00C00B08" w:rsidRPr="00BE6C76" w:rsidRDefault="00C00B08" w:rsidP="008156F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368AC883" w14:textId="77777777" w:rsidR="00C00B08" w:rsidRPr="00BE6C76" w:rsidRDefault="00C00B08" w:rsidP="008156FA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053B2049" w14:textId="77777777" w:rsidR="00C00B08" w:rsidRPr="00BE6C76" w:rsidRDefault="00C00B08" w:rsidP="00C00B08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48524A10" w14:textId="77777777" w:rsidR="00C00B08" w:rsidRPr="00BE6C76" w:rsidRDefault="00C00B08" w:rsidP="00C00B08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17F034D6" w14:textId="77777777" w:rsidR="00C00B08" w:rsidRPr="00BE6C76" w:rsidRDefault="00C00B08" w:rsidP="00C00B08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7527B43B" w14:textId="77777777" w:rsidR="00C00B08" w:rsidRPr="00BE6C76" w:rsidRDefault="00C00B08" w:rsidP="00C00B08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0F3A2802" w14:textId="77777777" w:rsidR="00C00B08" w:rsidRPr="00BE6C76" w:rsidRDefault="00C00B08" w:rsidP="00C00B08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451D8FD8" w14:textId="77777777" w:rsidR="00C00B08" w:rsidRPr="00BE6C76" w:rsidRDefault="00C00B08" w:rsidP="00C00B08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1A243760" w14:textId="77777777" w:rsidR="00C00B08" w:rsidRPr="00BE6C76" w:rsidRDefault="00C00B08" w:rsidP="00C00B08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7A6D128C" w14:textId="77777777" w:rsidR="00C00B08" w:rsidRPr="00BE6C76" w:rsidRDefault="00C00B08" w:rsidP="00C00B08">
            <w:pPr>
              <w:widowControl/>
              <w:numPr>
                <w:ilvl w:val="0"/>
                <w:numId w:val="2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456D794C" w14:textId="77777777" w:rsidR="00C00B08" w:rsidRPr="00BE6C76" w:rsidRDefault="00C00B08" w:rsidP="00C00B08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13D33CF1" w14:textId="77777777" w:rsidR="00C00B08" w:rsidRPr="00BE6C76" w:rsidRDefault="00C00B08" w:rsidP="00C00B08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29D5A558" w14:textId="77777777" w:rsidR="00C00B08" w:rsidRPr="00BE6C76" w:rsidRDefault="00C00B08" w:rsidP="00C00B08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0434F8DD" w14:textId="77777777" w:rsidR="00C00B08" w:rsidRPr="00BE6C76" w:rsidRDefault="00C00B08" w:rsidP="00C00B08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7F3BEC3B" w14:textId="77777777" w:rsidR="00C00B08" w:rsidRPr="00BE6C76" w:rsidRDefault="00C00B08" w:rsidP="00C00B08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38E28B3F" w14:textId="77777777" w:rsidR="00C00B08" w:rsidRPr="00BE6C76" w:rsidRDefault="00C00B08" w:rsidP="008156FA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00B08" w:rsidRPr="00BE6C76" w14:paraId="658382A5" w14:textId="77777777" w:rsidTr="008156FA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B5AF8" w14:textId="77777777" w:rsidR="00C00B08" w:rsidRPr="00BE6C76" w:rsidRDefault="00C00B08" w:rsidP="008156FA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DC8F7" w14:textId="77777777" w:rsidR="00C00B08" w:rsidRPr="00BE6C76" w:rsidRDefault="00C00B08" w:rsidP="008156FA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00B08" w:rsidRPr="00BE6C76" w14:paraId="131AB40F" w14:textId="77777777" w:rsidTr="008156FA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7E8C2" w14:textId="77777777" w:rsidR="00C00B08" w:rsidRPr="00BE6C76" w:rsidRDefault="00C00B0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58E914C5" w14:textId="77777777" w:rsidR="00C00B08" w:rsidRPr="00BE6C76" w:rsidRDefault="00C00B0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00CEAF8D" w14:textId="77777777" w:rsidR="00C00B08" w:rsidRPr="00BE6C76" w:rsidRDefault="00C00B0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143154F8" w14:textId="77777777" w:rsidR="00C00B08" w:rsidRPr="00BE6C76" w:rsidRDefault="00C00B0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43957008" w14:textId="77777777" w:rsidR="00C00B08" w:rsidRPr="00BE6C76" w:rsidRDefault="00C00B0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56F7C240" w14:textId="77777777" w:rsidR="00C00B08" w:rsidRPr="00BE6C76" w:rsidRDefault="00C00B0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79E40396" w14:textId="77777777" w:rsidR="00C00B08" w:rsidRPr="00BE6C76" w:rsidRDefault="00C00B0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3B6A98BD" w14:textId="77777777" w:rsidR="00C00B08" w:rsidRPr="00BE6C76" w:rsidRDefault="00C00B0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03725F42" w14:textId="77777777" w:rsidR="00C00B08" w:rsidRPr="00BE6C76" w:rsidRDefault="00C00B0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55BD1D39" w14:textId="77777777" w:rsidR="00C00B08" w:rsidRPr="00BE6C76" w:rsidRDefault="00C00B0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53170107" w14:textId="77777777" w:rsidR="00C00B08" w:rsidRPr="00BE6C76" w:rsidRDefault="00C00B0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348F43E8" w14:textId="77777777" w:rsidR="00C00B08" w:rsidRPr="00BE6C76" w:rsidRDefault="00C00B08" w:rsidP="008156F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772CF75D" w14:textId="77777777" w:rsidR="00C00B08" w:rsidRPr="00BE6C76" w:rsidRDefault="00C00B08" w:rsidP="008156FA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027A4DF0" w14:textId="77777777" w:rsidR="00C00B08" w:rsidRPr="00AC7324" w:rsidRDefault="00C00B08" w:rsidP="00C00B08">
      <w:pPr>
        <w:pStyle w:val="Bezodstpw"/>
        <w:jc w:val="right"/>
        <w:rPr>
          <w:rStyle w:val="Uwydatnienie"/>
          <w:rFonts w:cs="Calibri"/>
          <w:i w:val="0"/>
        </w:rPr>
      </w:pPr>
    </w:p>
    <w:p w14:paraId="290CA34A" w14:textId="77777777" w:rsidR="00C00B08" w:rsidRPr="00BE6C76" w:rsidRDefault="00C00B08" w:rsidP="00C00B08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64E12314" w14:textId="77777777" w:rsidR="00C00B08" w:rsidRPr="00BE6C76" w:rsidRDefault="00C00B08" w:rsidP="00C00B08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2C0B94E7" w14:textId="77777777" w:rsidR="00C00B08" w:rsidRPr="00BE6C76" w:rsidRDefault="00C00B08" w:rsidP="00C00B08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535C2534" w14:textId="77777777" w:rsidR="00C00B08" w:rsidRDefault="00C00B08" w:rsidP="00C00B0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10C1A14" w14:textId="77777777" w:rsidR="00C00B08" w:rsidRDefault="00C00B08" w:rsidP="00C00B08"/>
    <w:p w14:paraId="1851311B" w14:textId="77777777" w:rsidR="00C00B08" w:rsidRDefault="00C00B08" w:rsidP="00C00B08">
      <w:pPr>
        <w:rPr>
          <w:rFonts w:ascii="Calibri" w:hAnsi="Calibri" w:cs="Calibri"/>
          <w:b/>
        </w:rPr>
      </w:pPr>
    </w:p>
    <w:p w14:paraId="7DD5A95A" w14:textId="77777777" w:rsidR="00C00B08" w:rsidRDefault="00C00B08" w:rsidP="00C00B08">
      <w:pPr>
        <w:rPr>
          <w:rFonts w:ascii="Calibri" w:hAnsi="Calibri" w:cs="Calibri"/>
          <w:b/>
        </w:rPr>
      </w:pPr>
    </w:p>
    <w:p w14:paraId="08CEEC04" w14:textId="77777777" w:rsidR="00C00B08" w:rsidRPr="0012142B" w:rsidRDefault="00C00B08" w:rsidP="00C00B08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C00B08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2C8F3BB9" w14:textId="0962FF5A" w:rsidR="00582C80" w:rsidRPr="0012142B" w:rsidRDefault="00AA1575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0DF2F709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</w:rPr>
      </w:pPr>
    </w:p>
    <w:p w14:paraId="3CFBCB0B" w14:textId="0EDB496A" w:rsidR="00582C80" w:rsidRPr="0012142B" w:rsidRDefault="00582C80" w:rsidP="00582C80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5A77E1">
        <w:rPr>
          <w:rFonts w:asciiTheme="minorHAnsi" w:hAnsiTheme="minorHAnsi" w:cstheme="minorHAnsi"/>
          <w:b/>
          <w:sz w:val="28"/>
        </w:rPr>
        <w:t>8</w:t>
      </w:r>
    </w:p>
    <w:p w14:paraId="57F3AE85" w14:textId="77777777" w:rsidR="00C00B08" w:rsidRPr="0012142B" w:rsidRDefault="00C00B08" w:rsidP="00C00B0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Detektor tętna płodu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3A7B05A6" w14:textId="77777777" w:rsidR="00C00B08" w:rsidRPr="00FE75F8" w:rsidRDefault="00C00B08" w:rsidP="00C00B08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  <w:color w:val="FF0000"/>
        </w:rPr>
      </w:pPr>
      <w:r w:rsidRPr="34FF5B45">
        <w:rPr>
          <w:rFonts w:asciiTheme="minorHAnsi" w:hAnsiTheme="minorHAnsi" w:cstheme="minorBidi"/>
        </w:rPr>
        <w:t>Dostawa wraz z rozładunkiem, wniesieniem</w:t>
      </w:r>
      <w:r>
        <w:rPr>
          <w:rFonts w:asciiTheme="minorHAnsi" w:hAnsiTheme="minorHAnsi" w:cstheme="minorBidi"/>
        </w:rPr>
        <w:t>, uruchomieniem</w:t>
      </w:r>
      <w:r w:rsidRPr="34FF5B45">
        <w:rPr>
          <w:rFonts w:asciiTheme="minorHAnsi" w:hAnsiTheme="minorHAnsi" w:cstheme="minorBidi"/>
        </w:rPr>
        <w:t xml:space="preserve"> oraz dostarczeniem instrukcji stanowiskowej:</w:t>
      </w:r>
    </w:p>
    <w:p w14:paraId="30053B0E" w14:textId="1C948946" w:rsidR="003109BA" w:rsidRPr="0012142B" w:rsidRDefault="00C00B08" w:rsidP="00C00B0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381191D1" w14:textId="77777777" w:rsidR="00AD2188" w:rsidRPr="00AD2188" w:rsidRDefault="00AD2188" w:rsidP="00AD2188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D2188">
        <w:rPr>
          <w:rFonts w:asciiTheme="minorHAnsi" w:hAnsiTheme="minorHAnsi" w:cstheme="minorHAnsi"/>
          <w:b/>
          <w:bCs/>
          <w:sz w:val="24"/>
          <w:szCs w:val="24"/>
        </w:rPr>
        <w:t>Parametry i funkcje oceniane:</w:t>
      </w:r>
    </w:p>
    <w:p w14:paraId="1513C7C2" w14:textId="77777777" w:rsidR="00AD2188" w:rsidRPr="00AD2188" w:rsidRDefault="00AD2188" w:rsidP="00AD2188">
      <w:pPr>
        <w:tabs>
          <w:tab w:val="right" w:leader="dot" w:pos="9639"/>
        </w:tabs>
        <w:spacing w:line="360" w:lineRule="auto"/>
        <w:ind w:right="91"/>
        <w:jc w:val="both"/>
        <w:rPr>
          <w:rFonts w:ascii="Calibri" w:eastAsiaTheme="minorHAnsi" w:hAnsi="Calibri" w:cs="Calibri"/>
          <w:sz w:val="24"/>
          <w:szCs w:val="24"/>
        </w:rPr>
      </w:pPr>
    </w:p>
    <w:p w14:paraId="01BB7FE3" w14:textId="77777777" w:rsidR="00B30D33" w:rsidRPr="00B30D33" w:rsidRDefault="00B30D33" w:rsidP="00B30D33">
      <w:pPr>
        <w:pStyle w:val="Akapitzlist"/>
        <w:numPr>
          <w:ilvl w:val="0"/>
          <w:numId w:val="16"/>
        </w:numPr>
        <w:tabs>
          <w:tab w:val="right" w:leader="dot" w:pos="9639"/>
        </w:tabs>
        <w:spacing w:line="360" w:lineRule="auto"/>
        <w:ind w:left="284" w:right="91"/>
        <w:jc w:val="both"/>
        <w:rPr>
          <w:rFonts w:asciiTheme="minorHAnsi" w:hAnsiTheme="minorHAnsi" w:cstheme="minorHAnsi"/>
          <w:sz w:val="24"/>
          <w:szCs w:val="24"/>
        </w:rPr>
      </w:pPr>
      <w:r w:rsidRPr="00B30D33">
        <w:rPr>
          <w:rFonts w:asciiTheme="minorHAnsi" w:hAnsiTheme="minorHAnsi" w:cstheme="minorHAnsi"/>
          <w:sz w:val="24"/>
          <w:szCs w:val="24"/>
        </w:rPr>
        <w:t>Pobór mocy: nie większy niż 1 W.</w:t>
      </w:r>
    </w:p>
    <w:p w14:paraId="4F3E8D95" w14:textId="77777777" w:rsidR="00AD2188" w:rsidRPr="00AD2188" w:rsidRDefault="00AD2188" w:rsidP="00AD2188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AD2188">
        <w:rPr>
          <w:rFonts w:cstheme="minorHAnsi"/>
          <w:b/>
          <w:bCs/>
          <w:sz w:val="24"/>
          <w:szCs w:val="24"/>
        </w:rPr>
        <w:t xml:space="preserve">Skala oceny w punktach  - </w:t>
      </w:r>
      <w:r w:rsidRPr="00AD2188">
        <w:rPr>
          <w:rFonts w:cstheme="minorHAnsi"/>
          <w:bCs/>
          <w:sz w:val="24"/>
          <w:szCs w:val="24"/>
        </w:rPr>
        <w:t>0 / 10</w:t>
      </w:r>
    </w:p>
    <w:p w14:paraId="2DCA7967" w14:textId="77777777" w:rsidR="00AD2188" w:rsidRPr="00AD2188" w:rsidRDefault="00AD2188" w:rsidP="00AD2188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69162F25" w14:textId="77777777" w:rsidR="00B30D33" w:rsidRPr="00B30D33" w:rsidRDefault="00B30D33" w:rsidP="00B30D33">
      <w:pPr>
        <w:pStyle w:val="Akapitzlist"/>
        <w:numPr>
          <w:ilvl w:val="0"/>
          <w:numId w:val="16"/>
        </w:numPr>
        <w:tabs>
          <w:tab w:val="right" w:leader="dot" w:pos="9639"/>
        </w:tabs>
        <w:spacing w:line="360" w:lineRule="auto"/>
        <w:ind w:left="284" w:right="91"/>
        <w:jc w:val="both"/>
        <w:rPr>
          <w:rFonts w:asciiTheme="minorHAnsi" w:hAnsiTheme="minorHAnsi" w:cstheme="minorHAnsi"/>
          <w:sz w:val="24"/>
          <w:szCs w:val="24"/>
        </w:rPr>
      </w:pPr>
      <w:r w:rsidRPr="00B30D33">
        <w:rPr>
          <w:rFonts w:asciiTheme="minorHAnsi" w:hAnsiTheme="minorHAnsi" w:cstheme="minorHAnsi"/>
          <w:sz w:val="24"/>
          <w:szCs w:val="24"/>
        </w:rPr>
        <w:t>Funkcja automatycznego wyłączania po okresie bezczynności.</w:t>
      </w:r>
    </w:p>
    <w:p w14:paraId="2271A3C0" w14:textId="5A763EB2" w:rsidR="00D31EFB" w:rsidRPr="00AD2188" w:rsidRDefault="00AD2188" w:rsidP="00AD2188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AD2188">
        <w:rPr>
          <w:rFonts w:cstheme="minorHAnsi"/>
          <w:b/>
          <w:bCs/>
          <w:sz w:val="24"/>
          <w:szCs w:val="24"/>
        </w:rPr>
        <w:t xml:space="preserve">Skala oceny w punktach  - </w:t>
      </w:r>
      <w:r w:rsidRPr="00AD2188">
        <w:rPr>
          <w:rFonts w:cstheme="minorHAnsi"/>
          <w:bCs/>
          <w:sz w:val="24"/>
          <w:szCs w:val="24"/>
        </w:rPr>
        <w:t>0 / 10</w:t>
      </w:r>
    </w:p>
    <w:p w14:paraId="5F59B3F4" w14:textId="4B280933" w:rsidR="0083268D" w:rsidRPr="009164C1" w:rsidRDefault="0083268D" w:rsidP="00395D4F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0F04FAC9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D1599C8" w14:textId="400F3C33" w:rsidR="00582C80" w:rsidRPr="00AD2188" w:rsidRDefault="00582C80" w:rsidP="000933F2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D218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AD218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D2188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2B05139" w14:textId="77777777" w:rsidR="00582C80" w:rsidRPr="00AD2188" w:rsidRDefault="00582C80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7F4F8AA" w14:textId="47785B77" w:rsidR="009B21D2" w:rsidRPr="00AD2188" w:rsidRDefault="00AD2188" w:rsidP="00AD2188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218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0FC551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43AEC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9016BF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183BE45C" w14:textId="01F901AC" w:rsidR="0095537D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7CCDE5E2" w14:textId="77777777" w:rsidR="00C00B08" w:rsidRPr="0012142B" w:rsidRDefault="00C00B08" w:rsidP="009016BF">
      <w:pPr>
        <w:rPr>
          <w:rFonts w:asciiTheme="minorHAnsi" w:hAnsiTheme="minorHAnsi" w:cstheme="minorHAnsi"/>
          <w:b/>
          <w:sz w:val="20"/>
          <w:szCs w:val="20"/>
        </w:rPr>
      </w:pPr>
    </w:p>
    <w:p w14:paraId="5F4FE0E3" w14:textId="61CA7E3C" w:rsidR="00AC4BDE" w:rsidRDefault="00AC4BDE" w:rsidP="00AC4BDE">
      <w:pPr>
        <w:pStyle w:val="Nagwek1"/>
        <w:ind w:right="91"/>
        <w:jc w:val="both"/>
      </w:pPr>
      <w:r w:rsidRPr="00127545">
        <w:t>OCENA WARUNK</w:t>
      </w:r>
      <w:r>
        <w:t>Ó</w:t>
      </w:r>
      <w:r w:rsidRPr="00127545">
        <w:t xml:space="preserve">W GWARANCJI </w:t>
      </w:r>
      <w:r>
        <w:t xml:space="preserve">– CZĘŚĆ </w:t>
      </w:r>
      <w:r>
        <w:rPr>
          <w:lang w:val="de-DE"/>
        </w:rPr>
        <w:t xml:space="preserve">NR </w:t>
      </w:r>
      <w:r>
        <w:rPr>
          <w:lang w:val="de-DE"/>
        </w:rPr>
        <w:t>8</w:t>
      </w:r>
      <w:bookmarkStart w:id="0" w:name="_GoBack"/>
      <w:bookmarkEnd w:id="0"/>
    </w:p>
    <w:p w14:paraId="5D2605C3" w14:textId="77777777" w:rsidR="00C00B08" w:rsidRPr="0012142B" w:rsidRDefault="00C00B08" w:rsidP="00C00B0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Detektor tętna płodu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16B7EAF3" w14:textId="77777777" w:rsidR="00C00B08" w:rsidRPr="00FE75F8" w:rsidRDefault="00C00B08" w:rsidP="00C00B08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  <w:color w:val="FF0000"/>
        </w:rPr>
      </w:pPr>
      <w:r w:rsidRPr="34FF5B45">
        <w:rPr>
          <w:rFonts w:asciiTheme="minorHAnsi" w:hAnsiTheme="minorHAnsi" w:cstheme="minorBidi"/>
        </w:rPr>
        <w:t>Dostawa wraz z rozładunkiem, wniesieniem</w:t>
      </w:r>
      <w:r>
        <w:rPr>
          <w:rFonts w:asciiTheme="minorHAnsi" w:hAnsiTheme="minorHAnsi" w:cstheme="minorBidi"/>
        </w:rPr>
        <w:t>, uruchomieniem</w:t>
      </w:r>
      <w:r w:rsidRPr="34FF5B45">
        <w:rPr>
          <w:rFonts w:asciiTheme="minorHAnsi" w:hAnsiTheme="minorHAnsi" w:cstheme="minorBidi"/>
        </w:rPr>
        <w:t xml:space="preserve"> oraz dostarczeniem instrukcji stanowiskowej:</w:t>
      </w:r>
    </w:p>
    <w:p w14:paraId="53B75868" w14:textId="28BD2F57" w:rsidR="003109BA" w:rsidRPr="0012142B" w:rsidRDefault="00C00B08" w:rsidP="00C00B0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4F4EF41D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C00B08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22F7DAB9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18D90A8C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5A77E1">
        <w:t>8</w:t>
      </w:r>
    </w:p>
    <w:p w14:paraId="1144BBE9" w14:textId="77777777" w:rsidR="00C00B08" w:rsidRPr="0012142B" w:rsidRDefault="00C00B08" w:rsidP="00C00B0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Detektor tętna płodu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14E9973D" w14:textId="77777777" w:rsidR="00C00B08" w:rsidRPr="00FE75F8" w:rsidRDefault="00C00B08" w:rsidP="00C00B08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  <w:color w:val="FF0000"/>
        </w:rPr>
      </w:pPr>
      <w:r w:rsidRPr="34FF5B45">
        <w:rPr>
          <w:rFonts w:asciiTheme="minorHAnsi" w:hAnsiTheme="minorHAnsi" w:cstheme="minorBidi"/>
        </w:rPr>
        <w:t>Dostawa wraz z rozładunkiem, wniesieniem</w:t>
      </w:r>
      <w:r>
        <w:rPr>
          <w:rFonts w:asciiTheme="minorHAnsi" w:hAnsiTheme="minorHAnsi" w:cstheme="minorBidi"/>
        </w:rPr>
        <w:t>, uruchomieniem</w:t>
      </w:r>
      <w:r w:rsidRPr="34FF5B45">
        <w:rPr>
          <w:rFonts w:asciiTheme="minorHAnsi" w:hAnsiTheme="minorHAnsi" w:cstheme="minorBidi"/>
        </w:rPr>
        <w:t xml:space="preserve"> oraz dostarczeniem instrukcji stanowiskowej:</w:t>
      </w:r>
    </w:p>
    <w:p w14:paraId="3BC78332" w14:textId="605BBE79" w:rsidR="003109BA" w:rsidRPr="0012142B" w:rsidRDefault="00C00B08" w:rsidP="00C00B0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3AA71474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urządzenia w </w:t>
      </w:r>
      <w:r w:rsidR="006524D6" w:rsidRPr="0012142B">
        <w:rPr>
          <w:rFonts w:asciiTheme="minorHAnsi" w:hAnsiTheme="minorHAnsi" w:cstheme="minorHAnsi"/>
          <w:sz w:val="24"/>
          <w:szCs w:val="24"/>
        </w:rPr>
        <w:lastRenderedPageBreak/>
        <w:t>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36C88094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4EE7959C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5A77E1">
        <w:t>8</w:t>
      </w:r>
    </w:p>
    <w:p w14:paraId="3535A713" w14:textId="77777777" w:rsidR="00C00B08" w:rsidRPr="0012142B" w:rsidRDefault="00C00B08" w:rsidP="00C00B0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Detektor tętna płodu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99321C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6657551F" w14:textId="77777777" w:rsidR="00C00B08" w:rsidRPr="00FE75F8" w:rsidRDefault="00C00B08" w:rsidP="00C00B08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  <w:color w:val="FF0000"/>
        </w:rPr>
      </w:pPr>
      <w:r w:rsidRPr="34FF5B45">
        <w:rPr>
          <w:rFonts w:asciiTheme="minorHAnsi" w:hAnsiTheme="minorHAnsi" w:cstheme="minorBidi"/>
        </w:rPr>
        <w:t>Dostawa wraz z rozładunkiem, wniesieniem</w:t>
      </w:r>
      <w:r>
        <w:rPr>
          <w:rFonts w:asciiTheme="minorHAnsi" w:hAnsiTheme="minorHAnsi" w:cstheme="minorBidi"/>
        </w:rPr>
        <w:t>, uruchomieniem</w:t>
      </w:r>
      <w:r w:rsidRPr="34FF5B45">
        <w:rPr>
          <w:rFonts w:asciiTheme="minorHAnsi" w:hAnsiTheme="minorHAnsi" w:cstheme="minorBidi"/>
        </w:rPr>
        <w:t xml:space="preserve"> oraz dostarczeniem instrukcji stanowiskowej:</w:t>
      </w:r>
    </w:p>
    <w:p w14:paraId="7000E0D7" w14:textId="3F698291" w:rsidR="003109BA" w:rsidRPr="0012142B" w:rsidRDefault="00C00B08" w:rsidP="00C00B08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0933F2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6EE51183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0933F2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1E3D0" w14:textId="77777777" w:rsidR="006D77F4" w:rsidRDefault="006D77F4" w:rsidP="00EE7F46">
      <w:r>
        <w:separator/>
      </w:r>
    </w:p>
  </w:endnote>
  <w:endnote w:type="continuationSeparator" w:id="0">
    <w:p w14:paraId="05B4AE76" w14:textId="77777777" w:rsidR="006D77F4" w:rsidRDefault="006D77F4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452B0" w14:textId="77777777" w:rsidR="00C00B08" w:rsidRDefault="00C00B08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57F5189B" w14:textId="77777777" w:rsidR="00C00B08" w:rsidRPr="002F114D" w:rsidRDefault="00C00B08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878B1" w14:textId="77777777" w:rsidR="00C00B08" w:rsidRDefault="00C00B08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1E4AF60B" w14:textId="77777777" w:rsidR="00C00B08" w:rsidRPr="002F114D" w:rsidRDefault="00C00B08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9BE7A" w14:textId="77777777" w:rsidR="006D77F4" w:rsidRDefault="006D77F4" w:rsidP="00EE7F46">
      <w:r>
        <w:separator/>
      </w:r>
    </w:p>
  </w:footnote>
  <w:footnote w:type="continuationSeparator" w:id="0">
    <w:p w14:paraId="43956CDD" w14:textId="77777777" w:rsidR="006D77F4" w:rsidRDefault="006D77F4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830BD" w14:textId="77777777" w:rsidR="00C00B08" w:rsidRDefault="00C00B08">
    <w:pPr>
      <w:pStyle w:val="Nagwek"/>
    </w:pPr>
    <w:r>
      <w:rPr>
        <w:noProof/>
        <w:lang w:eastAsia="pl-PL"/>
      </w:rPr>
      <w:drawing>
        <wp:inline distT="0" distB="0" distL="0" distR="0" wp14:anchorId="3DEE6CBA" wp14:editId="7ECDDEED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42844C" w14:textId="77777777" w:rsidR="00C00B08" w:rsidRDefault="00C00B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114EC" w14:textId="77777777" w:rsidR="00C00B08" w:rsidRDefault="00C00B08">
    <w:pPr>
      <w:pStyle w:val="Nagwek"/>
    </w:pPr>
    <w:r>
      <w:rPr>
        <w:noProof/>
        <w:lang w:eastAsia="pl-PL"/>
      </w:rPr>
      <w:drawing>
        <wp:inline distT="0" distB="0" distL="0" distR="0" wp14:anchorId="3F0C6034" wp14:editId="58D36EA0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CC4F71" w14:textId="77777777" w:rsidR="00C00B08" w:rsidRDefault="00C00B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0C7C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056A8B"/>
    <w:multiLevelType w:val="hybridMultilevel"/>
    <w:tmpl w:val="26364070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7386"/>
    <w:multiLevelType w:val="multilevel"/>
    <w:tmpl w:val="37EE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47A0B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95C2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B500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73A1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90B08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E4F42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13"/>
  </w:num>
  <w:num w:numId="3">
    <w:abstractNumId w:val="21"/>
    <w:lvlOverride w:ilvl="0">
      <w:startOverride w:val="1"/>
    </w:lvlOverride>
  </w:num>
  <w:num w:numId="4">
    <w:abstractNumId w:val="16"/>
  </w:num>
  <w:num w:numId="5">
    <w:abstractNumId w:val="21"/>
    <w:lvlOverride w:ilvl="0">
      <w:startOverride w:val="1"/>
    </w:lvlOverride>
  </w:num>
  <w:num w:numId="6">
    <w:abstractNumId w:val="14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2"/>
  </w:num>
  <w:num w:numId="15">
    <w:abstractNumId w:val="11"/>
  </w:num>
  <w:num w:numId="16">
    <w:abstractNumId w:val="1"/>
  </w:num>
  <w:num w:numId="17">
    <w:abstractNumId w:val="18"/>
  </w:num>
  <w:num w:numId="18">
    <w:abstractNumId w:val="3"/>
  </w:num>
  <w:num w:numId="19">
    <w:abstractNumId w:val="15"/>
  </w:num>
  <w:num w:numId="20">
    <w:abstractNumId w:val="20"/>
  </w:num>
  <w:num w:numId="21">
    <w:abstractNumId w:val="12"/>
  </w:num>
  <w:num w:numId="22">
    <w:abstractNumId w:val="0"/>
  </w:num>
  <w:num w:numId="23">
    <w:abstractNumId w:val="2"/>
  </w:num>
  <w:num w:numId="24">
    <w:abstractNumId w:val="2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12DC2"/>
    <w:rsid w:val="0001496E"/>
    <w:rsid w:val="0002221B"/>
    <w:rsid w:val="00030067"/>
    <w:rsid w:val="00031AD6"/>
    <w:rsid w:val="00040867"/>
    <w:rsid w:val="000410B5"/>
    <w:rsid w:val="000420F4"/>
    <w:rsid w:val="00044D4B"/>
    <w:rsid w:val="00046B06"/>
    <w:rsid w:val="000478D5"/>
    <w:rsid w:val="00047F68"/>
    <w:rsid w:val="00055D70"/>
    <w:rsid w:val="00066766"/>
    <w:rsid w:val="00072AB5"/>
    <w:rsid w:val="00077F8E"/>
    <w:rsid w:val="00090CF9"/>
    <w:rsid w:val="000933F2"/>
    <w:rsid w:val="000A5BAF"/>
    <w:rsid w:val="000B2894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4A7"/>
    <w:rsid w:val="001379D5"/>
    <w:rsid w:val="001403CE"/>
    <w:rsid w:val="001450AB"/>
    <w:rsid w:val="001451CC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7B04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20BCF"/>
    <w:rsid w:val="0022241B"/>
    <w:rsid w:val="00224606"/>
    <w:rsid w:val="00226702"/>
    <w:rsid w:val="0024083A"/>
    <w:rsid w:val="00241B81"/>
    <w:rsid w:val="00243940"/>
    <w:rsid w:val="00243D8D"/>
    <w:rsid w:val="00251836"/>
    <w:rsid w:val="00262B7C"/>
    <w:rsid w:val="00265CE9"/>
    <w:rsid w:val="00282DF3"/>
    <w:rsid w:val="002920BB"/>
    <w:rsid w:val="002B1B84"/>
    <w:rsid w:val="002B51F3"/>
    <w:rsid w:val="002C264A"/>
    <w:rsid w:val="002C514E"/>
    <w:rsid w:val="002D529D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22F03"/>
    <w:rsid w:val="0032320B"/>
    <w:rsid w:val="0032527B"/>
    <w:rsid w:val="003270DA"/>
    <w:rsid w:val="003311F2"/>
    <w:rsid w:val="00334231"/>
    <w:rsid w:val="0034457C"/>
    <w:rsid w:val="00347431"/>
    <w:rsid w:val="00351385"/>
    <w:rsid w:val="00353551"/>
    <w:rsid w:val="003575B7"/>
    <w:rsid w:val="00363021"/>
    <w:rsid w:val="00373607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22458"/>
    <w:rsid w:val="00433493"/>
    <w:rsid w:val="00433E58"/>
    <w:rsid w:val="00434EAB"/>
    <w:rsid w:val="004420D9"/>
    <w:rsid w:val="00443494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B4AFF"/>
    <w:rsid w:val="004B79E8"/>
    <w:rsid w:val="004C3FEF"/>
    <w:rsid w:val="004D2FA7"/>
    <w:rsid w:val="004E7193"/>
    <w:rsid w:val="004F19ED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A77E1"/>
    <w:rsid w:val="005D79DD"/>
    <w:rsid w:val="005E189D"/>
    <w:rsid w:val="005F58EA"/>
    <w:rsid w:val="005F76C5"/>
    <w:rsid w:val="00601B8F"/>
    <w:rsid w:val="006110C6"/>
    <w:rsid w:val="00613D8F"/>
    <w:rsid w:val="006152EB"/>
    <w:rsid w:val="00630C79"/>
    <w:rsid w:val="00636B12"/>
    <w:rsid w:val="00642A22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301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D77F4"/>
    <w:rsid w:val="006E47CA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E01BD"/>
    <w:rsid w:val="008E4743"/>
    <w:rsid w:val="008F7B55"/>
    <w:rsid w:val="00900A37"/>
    <w:rsid w:val="009016BF"/>
    <w:rsid w:val="009038CF"/>
    <w:rsid w:val="00915624"/>
    <w:rsid w:val="009164C1"/>
    <w:rsid w:val="00916FC3"/>
    <w:rsid w:val="00922325"/>
    <w:rsid w:val="009233B3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FE"/>
    <w:rsid w:val="009F7336"/>
    <w:rsid w:val="00A0484F"/>
    <w:rsid w:val="00A0772F"/>
    <w:rsid w:val="00A24C9D"/>
    <w:rsid w:val="00A32693"/>
    <w:rsid w:val="00A41332"/>
    <w:rsid w:val="00A43598"/>
    <w:rsid w:val="00A45A20"/>
    <w:rsid w:val="00A46452"/>
    <w:rsid w:val="00A625C8"/>
    <w:rsid w:val="00A710A3"/>
    <w:rsid w:val="00A82039"/>
    <w:rsid w:val="00A86417"/>
    <w:rsid w:val="00A97FC5"/>
    <w:rsid w:val="00AA1575"/>
    <w:rsid w:val="00AB14C3"/>
    <w:rsid w:val="00AB1529"/>
    <w:rsid w:val="00AB1678"/>
    <w:rsid w:val="00AC4BDE"/>
    <w:rsid w:val="00AD2188"/>
    <w:rsid w:val="00AD5B42"/>
    <w:rsid w:val="00AE722E"/>
    <w:rsid w:val="00AE784F"/>
    <w:rsid w:val="00B00109"/>
    <w:rsid w:val="00B00568"/>
    <w:rsid w:val="00B123CE"/>
    <w:rsid w:val="00B12707"/>
    <w:rsid w:val="00B12B66"/>
    <w:rsid w:val="00B137A3"/>
    <w:rsid w:val="00B1394B"/>
    <w:rsid w:val="00B16969"/>
    <w:rsid w:val="00B30D33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0B08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2241"/>
    <w:rsid w:val="00C5333A"/>
    <w:rsid w:val="00C5480E"/>
    <w:rsid w:val="00C722A2"/>
    <w:rsid w:val="00C749DD"/>
    <w:rsid w:val="00C761BB"/>
    <w:rsid w:val="00C7707F"/>
    <w:rsid w:val="00CA3C42"/>
    <w:rsid w:val="00CB1E0E"/>
    <w:rsid w:val="00CB1E86"/>
    <w:rsid w:val="00CB3433"/>
    <w:rsid w:val="00CB4D66"/>
    <w:rsid w:val="00CB795C"/>
    <w:rsid w:val="00CC2736"/>
    <w:rsid w:val="00CE588C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7162D"/>
    <w:rsid w:val="00D81664"/>
    <w:rsid w:val="00D817DE"/>
    <w:rsid w:val="00D86D55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C2A"/>
    <w:rsid w:val="00E42D2D"/>
    <w:rsid w:val="00E44E82"/>
    <w:rsid w:val="00E53FF2"/>
    <w:rsid w:val="00E5542B"/>
    <w:rsid w:val="00E55DF8"/>
    <w:rsid w:val="00E57E1A"/>
    <w:rsid w:val="00E73AC0"/>
    <w:rsid w:val="00E80CC1"/>
    <w:rsid w:val="00E8470D"/>
    <w:rsid w:val="00E849FD"/>
    <w:rsid w:val="00E8669D"/>
    <w:rsid w:val="00E8726A"/>
    <w:rsid w:val="00E87A65"/>
    <w:rsid w:val="00E87E02"/>
    <w:rsid w:val="00E91124"/>
    <w:rsid w:val="00E91A1B"/>
    <w:rsid w:val="00EA1113"/>
    <w:rsid w:val="00EB0959"/>
    <w:rsid w:val="00EB3375"/>
    <w:rsid w:val="00EB7425"/>
    <w:rsid w:val="00EC2C0C"/>
    <w:rsid w:val="00EC2C3B"/>
    <w:rsid w:val="00EC3B10"/>
    <w:rsid w:val="00EC517C"/>
    <w:rsid w:val="00EC5A0E"/>
    <w:rsid w:val="00ED21D6"/>
    <w:rsid w:val="00ED28FB"/>
    <w:rsid w:val="00EE3D16"/>
    <w:rsid w:val="00EE7348"/>
    <w:rsid w:val="00EE7F46"/>
    <w:rsid w:val="00F00B25"/>
    <w:rsid w:val="00F01A8C"/>
    <w:rsid w:val="00F04478"/>
    <w:rsid w:val="00F04B87"/>
    <w:rsid w:val="00F304AD"/>
    <w:rsid w:val="00F475F6"/>
    <w:rsid w:val="00F50300"/>
    <w:rsid w:val="00F5122D"/>
    <w:rsid w:val="00F52419"/>
    <w:rsid w:val="00F5472A"/>
    <w:rsid w:val="00F5623A"/>
    <w:rsid w:val="00F578CD"/>
    <w:rsid w:val="00F62803"/>
    <w:rsid w:val="00F822F9"/>
    <w:rsid w:val="00F90DD5"/>
    <w:rsid w:val="00F92A4E"/>
    <w:rsid w:val="00F96A6C"/>
    <w:rsid w:val="00FA2582"/>
    <w:rsid w:val="00FA66B0"/>
    <w:rsid w:val="00FB6827"/>
    <w:rsid w:val="00FC780A"/>
    <w:rsid w:val="00FE07AA"/>
    <w:rsid w:val="00FE3B3F"/>
    <w:rsid w:val="00FE3FBB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00B08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C00B08"/>
    <w:rPr>
      <w:lang w:val="pl-PL"/>
    </w:rPr>
  </w:style>
  <w:style w:type="character" w:styleId="Uwydatnienie">
    <w:name w:val="Emphasis"/>
    <w:uiPriority w:val="20"/>
    <w:qFormat/>
    <w:rsid w:val="00C00B08"/>
    <w:rPr>
      <w:i/>
      <w:iCs/>
    </w:rPr>
  </w:style>
  <w:style w:type="paragraph" w:customStyle="1" w:styleId="xxmsonormal">
    <w:name w:val="x_x_msonormal"/>
    <w:basedOn w:val="Normalny"/>
    <w:rsid w:val="00C00B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BB2A9-BE40-4BDC-812A-0F8BB907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3719</Words>
  <Characters>22319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3</cp:revision>
  <cp:lastPrinted>2025-07-21T11:13:00Z</cp:lastPrinted>
  <dcterms:created xsi:type="dcterms:W3CDTF">2026-02-10T16:11:00Z</dcterms:created>
  <dcterms:modified xsi:type="dcterms:W3CDTF">2026-02-11T07:47:00Z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