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75D09" w14:textId="77777777" w:rsidR="00F46DF0" w:rsidRPr="0012142B" w:rsidRDefault="00F46DF0" w:rsidP="00F46DF0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3E38F3B8" w14:textId="77777777" w:rsidR="00F46DF0" w:rsidRPr="003E2F49" w:rsidRDefault="00F46DF0" w:rsidP="00F46DF0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1</w:t>
      </w:r>
    </w:p>
    <w:p w14:paraId="6B227F41" w14:textId="77777777" w:rsidR="00F46DF0" w:rsidRPr="0012142B" w:rsidRDefault="00F46DF0" w:rsidP="00F46DF0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578C0D3" w14:textId="77777777" w:rsidR="00F46DF0" w:rsidRPr="0012142B" w:rsidRDefault="00F46DF0" w:rsidP="00F46DF0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F0F170" w14:textId="248A1AD2" w:rsidR="00F46DF0" w:rsidRPr="00CC2818" w:rsidRDefault="00F46DF0" w:rsidP="00F46DF0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56B2C3B" w14:textId="77777777" w:rsidR="00F46DF0" w:rsidRPr="00CC2818" w:rsidRDefault="00F46DF0" w:rsidP="00F46DF0">
      <w:pPr>
        <w:ind w:right="141"/>
        <w:rPr>
          <w:rFonts w:ascii="Calibri" w:hAnsi="Calibri" w:cs="Calibri"/>
          <w:b/>
        </w:rPr>
      </w:pPr>
    </w:p>
    <w:p w14:paraId="1B8CA568" w14:textId="77777777" w:rsidR="00F46DF0" w:rsidRPr="003E2F49" w:rsidRDefault="00F46DF0" w:rsidP="00F46D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DB255AD" w14:textId="77777777" w:rsidR="00F46DF0" w:rsidRPr="003E2F49" w:rsidRDefault="00F46DF0" w:rsidP="00F46D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D8DD851" w14:textId="77777777" w:rsidR="00F46DF0" w:rsidRPr="003E2F49" w:rsidRDefault="00F46DF0" w:rsidP="00F46D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5B068AE" w14:textId="77777777" w:rsidR="00F46DF0" w:rsidRPr="003E2F49" w:rsidRDefault="00F46DF0" w:rsidP="00F46D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BAC991A" w14:textId="77777777" w:rsidR="00F46DF0" w:rsidRPr="003E2F49" w:rsidRDefault="00F46DF0" w:rsidP="00F46D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77A55A3" w14:textId="77777777" w:rsidR="00F46DF0" w:rsidRPr="003E2F49" w:rsidRDefault="00F46DF0" w:rsidP="00F46D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7B3403DC" w14:textId="77777777" w:rsidR="00F46DF0" w:rsidRPr="003E2F49" w:rsidRDefault="00F46DF0" w:rsidP="00F46D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1585113A" w14:textId="77777777" w:rsidR="00F46DF0" w:rsidRDefault="00F46DF0" w:rsidP="00F46D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2CF28CC1" w14:textId="77777777" w:rsidR="00F46DF0" w:rsidRPr="003E2F49" w:rsidRDefault="00F46DF0" w:rsidP="00F46D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700E81CE" w14:textId="77777777" w:rsidR="00F46DF0" w:rsidRPr="003E2F49" w:rsidRDefault="00F46DF0" w:rsidP="00F46D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7796B6CA" w14:textId="77777777" w:rsidR="00F46DF0" w:rsidRPr="003E2F49" w:rsidRDefault="00F46DF0" w:rsidP="00F46D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6BEF666E" w14:textId="77777777" w:rsidR="00F46DF0" w:rsidRPr="003E2F49" w:rsidRDefault="00F46DF0" w:rsidP="00F46DF0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5A397E53" w14:textId="77777777" w:rsidR="00F46DF0" w:rsidRDefault="00F46DF0" w:rsidP="00F46DF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AB01370" w14:textId="77777777" w:rsidR="00F46DF0" w:rsidRDefault="00F46DF0" w:rsidP="00F46DF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8A28E30" w14:textId="7FE68EFE" w:rsidR="00F46DF0" w:rsidRDefault="00F46DF0" w:rsidP="00F46DF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D73DEC1" w14:textId="1464C33C" w:rsidR="0095537D" w:rsidRPr="0012142B" w:rsidRDefault="00F46DF0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AA1575" w:rsidRPr="0012142B">
        <w:rPr>
          <w:rFonts w:asciiTheme="minorHAnsi" w:hAnsiTheme="minorHAnsi" w:cstheme="minorHAnsi"/>
          <w:b/>
          <w:sz w:val="20"/>
          <w:szCs w:val="20"/>
        </w:rPr>
        <w:t xml:space="preserve">AŁĄCZNIK NR 2 </w:t>
      </w:r>
    </w:p>
    <w:p w14:paraId="41358847" w14:textId="6A8E8818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1E186C">
        <w:t>1</w:t>
      </w:r>
    </w:p>
    <w:p w14:paraId="15F57589" w14:textId="2D4FE008" w:rsidR="00E8669D" w:rsidRPr="0012142B" w:rsidRDefault="00D31EFB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32082C62" w:rsidR="00047F68" w:rsidRPr="00E8669D" w:rsidRDefault="005E189D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Centrum </w:t>
      </w:r>
      <w:r w:rsidR="00D31EFB">
        <w:rPr>
          <w:rFonts w:ascii="Calibri" w:hAnsi="Calibri" w:cs="Calibri"/>
          <w:b/>
        </w:rPr>
        <w:t>Dydaktyczno-Egzaminacyjnego</w:t>
      </w:r>
      <w:r w:rsidR="00EC2C3B"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55F18EE8" w14:textId="6C52F1DE" w:rsidR="00F04B87" w:rsidRPr="009164C1" w:rsidRDefault="00F04B87" w:rsidP="00F46DF0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fabryc</w:t>
      </w:r>
      <w:r w:rsidR="00F46DF0">
        <w:rPr>
          <w:rFonts w:asciiTheme="minorHAnsi" w:hAnsiTheme="minorHAnsi" w:cstheme="minorHAnsi"/>
          <w:sz w:val="24"/>
          <w:szCs w:val="24"/>
        </w:rPr>
        <w:t xml:space="preserve">znie nowy, nie </w:t>
      </w:r>
      <w:proofErr w:type="spellStart"/>
      <w:r w:rsidR="00F46DF0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="00923F5D">
        <w:rPr>
          <w:rFonts w:asciiTheme="minorHAnsi" w:hAnsiTheme="minorHAnsi" w:cstheme="minorHAnsi"/>
          <w:sz w:val="24"/>
          <w:szCs w:val="24"/>
        </w:rPr>
        <w:t>.</w:t>
      </w:r>
    </w:p>
    <w:p w14:paraId="697C6884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Urządzenie symulujące działanie defibrylatora AED, przeznaczone wyłącznie do celów szkoleniowych (nie generuje impulsu elektrycznego).</w:t>
      </w:r>
    </w:p>
    <w:p w14:paraId="64C28E81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Możliwość pracy w trybie automatycznym i półautomatycznym.</w:t>
      </w:r>
    </w:p>
    <w:p w14:paraId="16E1E30D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Wyposażone w wyświetlacz LCD umożliwiający prezentację komunikatów i grafik.</w:t>
      </w:r>
    </w:p>
    <w:p w14:paraId="72D02AAF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Zasilanie sieciowe lub bateryjne (zasilacz w zestawie).</w:t>
      </w:r>
    </w:p>
    <w:p w14:paraId="370267EC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Tryb ćwiczeń resuscytacji krążeniowo-oddechowej (RKO).</w:t>
      </w:r>
    </w:p>
    <w:p w14:paraId="72599562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Dwa tryby szkoleniowe: dorosły i dziecko.</w:t>
      </w:r>
    </w:p>
    <w:p w14:paraId="71C4C9D5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Minimum dziewięć gotowych scenariuszy szkoleniowych.</w:t>
      </w:r>
    </w:p>
    <w:p w14:paraId="257FECB0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Komunikaty dźwiękowe i wizualne dostępne co najmniej w językach: polski, angielski, hiszpański, francuski.</w:t>
      </w:r>
    </w:p>
    <w:p w14:paraId="37A7DC9A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Możliwość edycji tempa i głębokości uciśnięć klatki piersiowej.</w:t>
      </w:r>
    </w:p>
    <w:p w14:paraId="3DC6D06B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Wbudowany metronom wspierający rytm uciśnięć.</w:t>
      </w:r>
    </w:p>
    <w:p w14:paraId="0F3675DC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Wskazanie czasu trwania prowadzonej resuscytacji.</w:t>
      </w:r>
    </w:p>
    <w:p w14:paraId="37543C5C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Zdalne sterowanie przebiegiem ćwiczenia za pomocą pilota.</w:t>
      </w:r>
    </w:p>
    <w:p w14:paraId="359C5B2E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Czujniki magnetyczne (minimum 4 sztuki) do wykrywania poprawnego przylegania elektrod do fantomu.</w:t>
      </w:r>
    </w:p>
    <w:p w14:paraId="4A62D1AC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Kompatybilność czujników z dowolnym fantomem treningowym.</w:t>
      </w:r>
    </w:p>
    <w:p w14:paraId="4C1284C8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Komplet elektrod szkoleniowych co najmniej : jedna para dla dorosłych, jedna para dla dzieci.</w:t>
      </w:r>
    </w:p>
    <w:p w14:paraId="7D7CC990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Dodatkowo w zestawie:</w:t>
      </w:r>
    </w:p>
    <w:p w14:paraId="374DA282" w14:textId="77777777" w:rsidR="00D31EFB" w:rsidRPr="00D31EFB" w:rsidRDefault="00D31EFB" w:rsidP="0014471E">
      <w:pPr>
        <w:pStyle w:val="Akapitzlist"/>
        <w:numPr>
          <w:ilvl w:val="0"/>
          <w:numId w:val="1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lastRenderedPageBreak/>
        <w:t>Zasilacz.</w:t>
      </w:r>
    </w:p>
    <w:p w14:paraId="38601F2E" w14:textId="77777777" w:rsidR="00D31EFB" w:rsidRPr="00D31EFB" w:rsidRDefault="00D31EFB" w:rsidP="0014471E">
      <w:pPr>
        <w:pStyle w:val="Akapitzlist"/>
        <w:numPr>
          <w:ilvl w:val="0"/>
          <w:numId w:val="1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 xml:space="preserve">Pilot zdalnego sterowania. </w:t>
      </w:r>
    </w:p>
    <w:p w14:paraId="06C14E16" w14:textId="77777777" w:rsidR="00D31EFB" w:rsidRPr="00D31EFB" w:rsidRDefault="00D31EFB" w:rsidP="0014471E">
      <w:pPr>
        <w:pStyle w:val="Akapitzlist"/>
        <w:numPr>
          <w:ilvl w:val="0"/>
          <w:numId w:val="1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 xml:space="preserve">Walizka transportowa/ochronna. </w:t>
      </w: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036ED2E8" w:rsidR="00F04B87" w:rsidRPr="009164C1" w:rsidRDefault="00F04B87" w:rsidP="00A9192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A91928" w:rsidRPr="00A91928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przedmiot zamówienia spełnia wymagania techniczne, użytkowe i funkcjonalne przedstawione w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powyższych tabelach, oraz wszystkie dotyczące go pozostałe wymagania wymienione w specyfikacji  warunków zamówienia i w załącznikach do niej.</w:t>
      </w:r>
    </w:p>
    <w:p w14:paraId="2F242212" w14:textId="6909A327" w:rsidR="00204CA6" w:rsidRPr="0012142B" w:rsidRDefault="00923F5D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3C939D47" w14:textId="77777777" w:rsidR="00716E99" w:rsidRPr="00BE6C76" w:rsidRDefault="00716E99" w:rsidP="00716E99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06058DC1" w14:textId="77777777" w:rsidR="00716E99" w:rsidRDefault="00716E99" w:rsidP="00716E99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1</w:t>
      </w:r>
    </w:p>
    <w:p w14:paraId="16A0962F" w14:textId="77777777" w:rsidR="00716E99" w:rsidRPr="0012142B" w:rsidRDefault="00716E99" w:rsidP="00716E99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9AE3FEC" w14:textId="77777777" w:rsidR="00716E99" w:rsidRPr="0012142B" w:rsidRDefault="00716E99" w:rsidP="00716E99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0E4F3008" w14:textId="1CD71914" w:rsidR="00716E99" w:rsidRDefault="00716E99" w:rsidP="00716E99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0EF25303" w14:textId="77777777" w:rsidR="00716E99" w:rsidRPr="00BE6C76" w:rsidRDefault="00716E99" w:rsidP="00716E99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716E99" w:rsidRPr="00BE6C76" w14:paraId="2AC16264" w14:textId="77777777" w:rsidTr="00D0342E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76519" w14:textId="77777777" w:rsidR="00716E99" w:rsidRPr="00BE6C76" w:rsidRDefault="00716E99" w:rsidP="00D0342E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9E1CBC" w14:textId="77777777" w:rsidR="00716E99" w:rsidRPr="00BE6C76" w:rsidRDefault="00716E99" w:rsidP="00D0342E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716E99" w:rsidRPr="00BE6C76" w14:paraId="72384731" w14:textId="77777777" w:rsidTr="00D0342E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E872B7" w14:textId="77777777" w:rsidR="00716E99" w:rsidRPr="00BE6C76" w:rsidRDefault="00716E99" w:rsidP="00D0342E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85AEE6" w14:textId="77777777" w:rsidR="00716E99" w:rsidRPr="00BE6C76" w:rsidRDefault="00716E99" w:rsidP="00D0342E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2936DEC" w14:textId="77777777" w:rsidR="00716E99" w:rsidRPr="00BE6C76" w:rsidRDefault="00716E99" w:rsidP="00716E99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0CECAB56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E75C959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7BA43A2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FC171B1" w14:textId="77777777" w:rsidR="00716E99" w:rsidRPr="00BE6C76" w:rsidRDefault="00716E99" w:rsidP="00716E99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3B339D52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6271CBE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5868993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558C376" w14:textId="77777777" w:rsidR="00716E99" w:rsidRPr="00BE6C76" w:rsidRDefault="00716E99" w:rsidP="00716E99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694F77C2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8B22AEA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62519E4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85F1339" w14:textId="77777777" w:rsidR="00716E99" w:rsidRPr="00BE6C76" w:rsidRDefault="00716E99" w:rsidP="00716E99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227151EB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0606089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C646281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lastRenderedPageBreak/>
              <w:t>……………………………………………………………….</w:t>
            </w:r>
          </w:p>
          <w:p w14:paraId="7223B6B7" w14:textId="77777777" w:rsidR="00716E99" w:rsidRPr="00BE6C76" w:rsidRDefault="00716E99" w:rsidP="00716E99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5F259219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F62C098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A835631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B8E80E0" w14:textId="77777777" w:rsidR="00716E99" w:rsidRPr="00BE6C76" w:rsidRDefault="00716E99" w:rsidP="00716E99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14F2DA82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3B56B7E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1E99871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989EE76" w14:textId="77777777" w:rsidR="00716E99" w:rsidRPr="00BE6C76" w:rsidRDefault="00716E99" w:rsidP="00716E99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5B8DDC50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C49D2C9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7284E2C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04BD038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477FACD7" w14:textId="77777777" w:rsidR="00716E99" w:rsidRPr="00BE6C76" w:rsidRDefault="00716E99" w:rsidP="00716E99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08168C4D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411116E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DD69049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B6A2CDE" w14:textId="77777777" w:rsidR="00716E99" w:rsidRPr="00BE6C76" w:rsidRDefault="00716E99" w:rsidP="00716E99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23480D4D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E3315D9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8D9D543" w14:textId="77777777" w:rsidR="00716E99" w:rsidRPr="00BE6C76" w:rsidRDefault="00716E99" w:rsidP="00D0342E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7D7445B" w14:textId="77777777" w:rsidR="00716E99" w:rsidRPr="00BE6C76" w:rsidRDefault="00716E99" w:rsidP="00D0342E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286628CF" w14:textId="77777777" w:rsidR="00716E99" w:rsidRPr="00BE6C76" w:rsidRDefault="00716E99" w:rsidP="00D0342E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16E99" w:rsidRPr="00BE6C76" w14:paraId="0D56C892" w14:textId="77777777" w:rsidTr="00D0342E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01344" w14:textId="77777777" w:rsidR="00716E99" w:rsidRPr="00BE6C76" w:rsidRDefault="00716E99" w:rsidP="00D0342E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C00A45" w14:textId="77777777" w:rsidR="00716E99" w:rsidRPr="00BE6C76" w:rsidRDefault="00716E99" w:rsidP="00D0342E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716E99" w:rsidRPr="00BE6C76" w14:paraId="5BB95E26" w14:textId="77777777" w:rsidTr="00D0342E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931CD" w14:textId="77777777" w:rsidR="00716E99" w:rsidRPr="00BE6C76" w:rsidRDefault="00716E99" w:rsidP="00D0342E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8581E" w14:textId="77777777" w:rsidR="00716E99" w:rsidRPr="00BE6C76" w:rsidRDefault="00716E99" w:rsidP="00D0342E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716E99" w:rsidRPr="00BE6C76" w14:paraId="3BE003BA" w14:textId="77777777" w:rsidTr="00D0342E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DBD2E" w14:textId="77777777" w:rsidR="00716E99" w:rsidRPr="00BE6C76" w:rsidRDefault="00716E99" w:rsidP="00D0342E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42F84B3" w14:textId="77777777" w:rsidR="00716E99" w:rsidRPr="00BE6C76" w:rsidRDefault="00716E99" w:rsidP="00D0342E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1E028B97" w14:textId="77777777" w:rsidR="00716E99" w:rsidRPr="00BE6C76" w:rsidRDefault="00716E99" w:rsidP="00D0342E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62B1DB0C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5C2D483B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5038D65A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2F840926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775FB119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2D19F210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57680B87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4D8F3154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096443F4" w14:textId="77777777" w:rsidR="00716E99" w:rsidRPr="00BE6C76" w:rsidRDefault="00716E99" w:rsidP="00716E99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668F9259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2CEE4EB4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4D4E1838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48040B76" w14:textId="77777777" w:rsidR="00716E99" w:rsidRPr="00BE6C76" w:rsidRDefault="00716E99" w:rsidP="00716E99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5E389604" w14:textId="77777777" w:rsidR="00716E99" w:rsidRPr="00BE6C76" w:rsidRDefault="00716E99" w:rsidP="00D0342E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716E99" w:rsidRPr="00BE6C76" w14:paraId="06359BF3" w14:textId="77777777" w:rsidTr="00D0342E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BBC1B" w14:textId="77777777" w:rsidR="00716E99" w:rsidRPr="00BE6C76" w:rsidRDefault="00716E99" w:rsidP="00D0342E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C20DE" w14:textId="77777777" w:rsidR="00716E99" w:rsidRPr="00BE6C76" w:rsidRDefault="00716E99" w:rsidP="00D0342E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716E99" w:rsidRPr="00BE6C76" w14:paraId="23B675D3" w14:textId="77777777" w:rsidTr="00D0342E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C6EB3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5F1FB66C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5EA62E91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285548A5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6AD09EDB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606B2B3F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0A66FB1D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2BBC383D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6EC6588B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4A3FCB46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0C662329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455F907F" w14:textId="77777777" w:rsidR="00716E99" w:rsidRPr="00BE6C76" w:rsidRDefault="00716E99" w:rsidP="00D0342E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7E371F3D" w14:textId="77777777" w:rsidR="00716E99" w:rsidRPr="00BE6C76" w:rsidRDefault="00716E99" w:rsidP="00D0342E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29D2F380" w14:textId="77777777" w:rsidR="00716E99" w:rsidRPr="00AC7324" w:rsidRDefault="00716E99" w:rsidP="00716E99">
      <w:pPr>
        <w:pStyle w:val="Bezodstpw"/>
        <w:jc w:val="right"/>
        <w:rPr>
          <w:rStyle w:val="Uwydatnienie"/>
          <w:rFonts w:cs="Calibri"/>
          <w:i w:val="0"/>
        </w:rPr>
      </w:pPr>
    </w:p>
    <w:p w14:paraId="1CD432CB" w14:textId="77777777" w:rsidR="00716E99" w:rsidRPr="00BE6C76" w:rsidRDefault="00716E99" w:rsidP="00716E99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13AD5F8E" w14:textId="77777777" w:rsidR="00716E99" w:rsidRPr="00BE6C76" w:rsidRDefault="00716E99" w:rsidP="00716E99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7D377AD6" w14:textId="77777777" w:rsidR="00716E99" w:rsidRPr="00BE6C76" w:rsidRDefault="00716E99" w:rsidP="00716E99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5470630B" w14:textId="77777777" w:rsidR="00716E99" w:rsidRDefault="00716E99" w:rsidP="00716E9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948E36" w14:textId="77777777" w:rsidR="00716E99" w:rsidRDefault="00716E99" w:rsidP="00716E99"/>
    <w:p w14:paraId="3C209911" w14:textId="77777777" w:rsidR="00716E99" w:rsidRDefault="00716E99" w:rsidP="00716E99">
      <w:pPr>
        <w:rPr>
          <w:rFonts w:ascii="Calibri" w:hAnsi="Calibri" w:cs="Calibri"/>
          <w:b/>
        </w:rPr>
      </w:pPr>
    </w:p>
    <w:p w14:paraId="499CE6EF" w14:textId="77777777" w:rsidR="00716E99" w:rsidRDefault="00716E99" w:rsidP="00716E99">
      <w:pPr>
        <w:rPr>
          <w:rFonts w:ascii="Calibri" w:hAnsi="Calibri" w:cs="Calibri"/>
          <w:b/>
        </w:rPr>
      </w:pPr>
    </w:p>
    <w:p w14:paraId="23543CC9" w14:textId="77777777" w:rsidR="00716E99" w:rsidRPr="0012142B" w:rsidRDefault="00716E99" w:rsidP="00716E9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716E99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2C8F3BB9" w14:textId="42034E75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760FDE88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1E186C">
        <w:rPr>
          <w:rFonts w:asciiTheme="minorHAnsi" w:hAnsiTheme="minorHAnsi" w:cstheme="minorHAnsi"/>
          <w:b/>
          <w:sz w:val="28"/>
        </w:rPr>
        <w:t>1</w:t>
      </w:r>
    </w:p>
    <w:p w14:paraId="44C30965" w14:textId="77777777" w:rsidR="00D31EFB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94C3A31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0053B0E" w14:textId="4C611CC0" w:rsidR="003109BA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445D5E6F" w14:textId="77777777" w:rsidR="00D31EFB" w:rsidRPr="00166948" w:rsidRDefault="00D31EFB" w:rsidP="0014471E">
      <w:pPr>
        <w:pStyle w:val="Akapitzlist"/>
        <w:numPr>
          <w:ilvl w:val="0"/>
          <w:numId w:val="1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="Calibri" w:hAnsi="Calibri" w:cs="Calibri"/>
          <w:sz w:val="24"/>
          <w:szCs w:val="24"/>
        </w:rPr>
      </w:pPr>
      <w:r w:rsidRPr="00166948">
        <w:rPr>
          <w:rFonts w:ascii="Calibri" w:hAnsi="Calibri" w:cs="Calibri"/>
          <w:sz w:val="24"/>
          <w:szCs w:val="24"/>
        </w:rPr>
        <w:t>Możliwość rozbudowy o opaskę do monitorowania uciśnięć klatki piersiowej.</w:t>
      </w:r>
    </w:p>
    <w:p w14:paraId="4CFC955A" w14:textId="636903C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 xml:space="preserve">0 / </w:t>
      </w:r>
      <w:r w:rsidR="00923F5D">
        <w:rPr>
          <w:rFonts w:ascii="Calibri" w:hAnsi="Calibri" w:cs="Calibri"/>
          <w:bCs/>
          <w:sz w:val="24"/>
          <w:szCs w:val="24"/>
        </w:rPr>
        <w:t>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7236268B" w14:textId="77777777" w:rsidR="00D31EFB" w:rsidRPr="00166948" w:rsidRDefault="00D31EFB" w:rsidP="0014471E">
      <w:pPr>
        <w:pStyle w:val="Akapitzlist"/>
        <w:numPr>
          <w:ilvl w:val="0"/>
          <w:numId w:val="1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66948">
        <w:rPr>
          <w:rFonts w:ascii="Calibri" w:eastAsia="Times New Roman" w:hAnsi="Calibri" w:cs="Calibri"/>
          <w:sz w:val="24"/>
          <w:szCs w:val="24"/>
          <w:lang w:eastAsia="pl-PL"/>
        </w:rPr>
        <w:t>Możliwość rozbudowy o zegarek CRP do automatycznego monitorowania głębokości ucisku oraz częstości ucisku.</w:t>
      </w:r>
    </w:p>
    <w:p w14:paraId="2271A3C0" w14:textId="25C3E77A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="00923F5D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14471E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4A6DF5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6AC6FC6A" w:rsidR="009016BF" w:rsidRPr="0012142B" w:rsidRDefault="00923F5D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183BE45C" w14:textId="634D0688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32C2F423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1E186C">
        <w:t>1</w:t>
      </w:r>
    </w:p>
    <w:p w14:paraId="37BE0F63" w14:textId="77777777" w:rsidR="00D31EFB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1611492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545EE314" w:rsidR="003109BA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60E8F937" w:rsidR="00204CA6" w:rsidRPr="0012142B" w:rsidRDefault="00204CA6" w:rsidP="00A91928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A91928" w:rsidRPr="00A91928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BCE43A9" w:rsidR="006524D6" w:rsidRPr="0012142B" w:rsidRDefault="00923F5D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1D006953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4D66DA59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1E186C">
        <w:t>1</w:t>
      </w:r>
    </w:p>
    <w:p w14:paraId="756A5318" w14:textId="77777777" w:rsidR="00D31EFB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02C2C6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03F6CD92" w:rsidR="003109BA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43955B3F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91928">
      <w:pPr>
        <w:pStyle w:val="TableParagraph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91928">
      <w:pPr>
        <w:pStyle w:val="Akapitzlist"/>
        <w:numPr>
          <w:ilvl w:val="0"/>
          <w:numId w:val="17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91928">
      <w:pPr>
        <w:pStyle w:val="Akapitzlist"/>
        <w:numPr>
          <w:ilvl w:val="0"/>
          <w:numId w:val="17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33D5476E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03CD2035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1E186C">
        <w:t>1</w:t>
      </w:r>
    </w:p>
    <w:p w14:paraId="5E49ACCE" w14:textId="77777777" w:rsidR="00D31EFB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B773A98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380FB84E" w:rsidR="003109BA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58CB31BA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EB1A8" w14:textId="77777777" w:rsidR="00A2611F" w:rsidRDefault="00A2611F" w:rsidP="00EE7F46">
      <w:r>
        <w:separator/>
      </w:r>
    </w:p>
  </w:endnote>
  <w:endnote w:type="continuationSeparator" w:id="0">
    <w:p w14:paraId="23F1F1A7" w14:textId="77777777" w:rsidR="00A2611F" w:rsidRDefault="00A2611F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13CC9" w14:textId="77777777" w:rsidR="00716E99" w:rsidRDefault="00716E99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2775A23E" w14:textId="77777777" w:rsidR="00716E99" w:rsidRPr="002F114D" w:rsidRDefault="00716E99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2759B" w14:textId="77777777" w:rsidR="00A2611F" w:rsidRDefault="00A2611F" w:rsidP="00EE7F46">
      <w:r>
        <w:separator/>
      </w:r>
    </w:p>
  </w:footnote>
  <w:footnote w:type="continuationSeparator" w:id="0">
    <w:p w14:paraId="560ABB3D" w14:textId="77777777" w:rsidR="00A2611F" w:rsidRDefault="00A2611F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CBC50" w14:textId="77777777" w:rsidR="00716E99" w:rsidRDefault="00716E99">
    <w:pPr>
      <w:pStyle w:val="Nagwek"/>
    </w:pPr>
    <w:r>
      <w:rPr>
        <w:noProof/>
        <w:lang w:eastAsia="pl-PL"/>
      </w:rPr>
      <w:drawing>
        <wp:inline distT="0" distB="0" distL="0" distR="0" wp14:anchorId="6CB3701F" wp14:editId="3AE13638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14C57" w14:textId="77777777" w:rsidR="00716E99" w:rsidRDefault="00716E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C28D8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5"/>
    <w:lvlOverride w:ilvl="0">
      <w:startOverride w:val="1"/>
    </w:lvlOverride>
  </w:num>
  <w:num w:numId="4">
    <w:abstractNumId w:val="12"/>
  </w:num>
  <w:num w:numId="5">
    <w:abstractNumId w:val="15"/>
    <w:lvlOverride w:ilvl="0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8"/>
  </w:num>
  <w:num w:numId="16">
    <w:abstractNumId w:val="7"/>
  </w:num>
  <w:num w:numId="17">
    <w:abstractNumId w:val="10"/>
  </w:num>
  <w:num w:numId="18">
    <w:abstractNumId w:val="13"/>
  </w:num>
  <w:num w:numId="1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13A1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6B12"/>
    <w:rsid w:val="00642A22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A5AE7"/>
    <w:rsid w:val="006B526C"/>
    <w:rsid w:val="006B5AF9"/>
    <w:rsid w:val="006C2875"/>
    <w:rsid w:val="006C2A08"/>
    <w:rsid w:val="006C6257"/>
    <w:rsid w:val="006E47CA"/>
    <w:rsid w:val="006F4559"/>
    <w:rsid w:val="00711B54"/>
    <w:rsid w:val="00712CFE"/>
    <w:rsid w:val="00716E99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3F5D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4C9D"/>
    <w:rsid w:val="00A2611F"/>
    <w:rsid w:val="00A32693"/>
    <w:rsid w:val="00A41332"/>
    <w:rsid w:val="00A43598"/>
    <w:rsid w:val="00A45A20"/>
    <w:rsid w:val="00A46452"/>
    <w:rsid w:val="00A625C8"/>
    <w:rsid w:val="00A710A3"/>
    <w:rsid w:val="00A86417"/>
    <w:rsid w:val="00A91928"/>
    <w:rsid w:val="00A97FC5"/>
    <w:rsid w:val="00AA1575"/>
    <w:rsid w:val="00AB1529"/>
    <w:rsid w:val="00AB1678"/>
    <w:rsid w:val="00AD5B42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7DE"/>
    <w:rsid w:val="00D86D55"/>
    <w:rsid w:val="00DD16A7"/>
    <w:rsid w:val="00DD3D85"/>
    <w:rsid w:val="00DD63E9"/>
    <w:rsid w:val="00DE0F3F"/>
    <w:rsid w:val="00DE2633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560A"/>
    <w:rsid w:val="00F304AD"/>
    <w:rsid w:val="00F46DF0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16E99"/>
    <w:rPr>
      <w:rFonts w:ascii="Arial" w:eastAsia="Arial" w:hAnsi="Arial" w:cs="Arial"/>
      <w:lang w:val="pl-PL"/>
    </w:rPr>
  </w:style>
  <w:style w:type="paragraph" w:styleId="Nagwek1">
    <w:name w:val="heading 1"/>
    <w:basedOn w:val="Tytu"/>
    <w:link w:val="Nagwek1Znak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F46DF0"/>
    <w:rPr>
      <w:rFonts w:eastAsia="Arial" w:cstheme="minorHAnsi"/>
      <w:b/>
      <w:bCs/>
      <w:sz w:val="28"/>
      <w:szCs w:val="28"/>
      <w:lang w:val="pl-PL"/>
    </w:rPr>
  </w:style>
  <w:style w:type="character" w:customStyle="1" w:styleId="BezodstpwZnak">
    <w:name w:val="Bez odstępów Znak"/>
    <w:link w:val="Bezodstpw"/>
    <w:uiPriority w:val="1"/>
    <w:locked/>
    <w:rsid w:val="00716E99"/>
    <w:rPr>
      <w:lang w:val="pl-PL"/>
    </w:rPr>
  </w:style>
  <w:style w:type="character" w:styleId="Uwydatnienie">
    <w:name w:val="Emphasis"/>
    <w:uiPriority w:val="20"/>
    <w:qFormat/>
    <w:rsid w:val="00716E99"/>
    <w:rPr>
      <w:i/>
      <w:iCs/>
    </w:rPr>
  </w:style>
  <w:style w:type="paragraph" w:customStyle="1" w:styleId="xxmsonormal">
    <w:name w:val="x_x_msonormal"/>
    <w:basedOn w:val="Normalny"/>
    <w:rsid w:val="00716E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A603-CAC6-495D-9514-2C09AF99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3773</Words>
  <Characters>22644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4</cp:revision>
  <cp:lastPrinted>2025-07-21T11:13:00Z</cp:lastPrinted>
  <dcterms:created xsi:type="dcterms:W3CDTF">2026-04-28T06:11:00Z</dcterms:created>
  <dcterms:modified xsi:type="dcterms:W3CDTF">2026-04-28T06:58:00Z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